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69" w:rsidRPr="0051285C" w:rsidRDefault="008066B2" w:rsidP="00EC5569">
      <w:pPr>
        <w:jc w:val="center"/>
        <w:rPr>
          <w:b/>
          <w:sz w:val="24"/>
          <w:szCs w:val="24"/>
        </w:rPr>
      </w:pPr>
      <w:r w:rsidRPr="0051285C">
        <w:rPr>
          <w:b/>
          <w:sz w:val="24"/>
          <w:szCs w:val="24"/>
        </w:rPr>
        <w:t>Analýza stavu akademických knižníc za rok 2013</w:t>
      </w:r>
    </w:p>
    <w:p w:rsidR="0096609C" w:rsidRPr="0051285C" w:rsidRDefault="0051285C" w:rsidP="00EC5569">
      <w:pPr>
        <w:jc w:val="center"/>
        <w:rPr>
          <w:b/>
          <w:sz w:val="24"/>
          <w:szCs w:val="24"/>
        </w:rPr>
      </w:pPr>
      <w:r w:rsidRPr="0051285C">
        <w:rPr>
          <w:b/>
          <w:sz w:val="24"/>
          <w:szCs w:val="24"/>
        </w:rPr>
        <w:t>(</w:t>
      </w:r>
      <w:r w:rsidR="00EC5569" w:rsidRPr="0051285C">
        <w:rPr>
          <w:b/>
          <w:sz w:val="24"/>
          <w:szCs w:val="24"/>
        </w:rPr>
        <w:t xml:space="preserve">na </w:t>
      </w:r>
      <w:r w:rsidR="008066B2" w:rsidRPr="0051285C">
        <w:rPr>
          <w:b/>
          <w:sz w:val="24"/>
          <w:szCs w:val="24"/>
        </w:rPr>
        <w:t xml:space="preserve"> </w:t>
      </w:r>
      <w:r w:rsidRPr="0051285C">
        <w:rPr>
          <w:b/>
          <w:sz w:val="24"/>
          <w:szCs w:val="24"/>
        </w:rPr>
        <w:t xml:space="preserve">základe </w:t>
      </w:r>
      <w:r w:rsidR="008066B2" w:rsidRPr="0051285C">
        <w:rPr>
          <w:b/>
          <w:sz w:val="24"/>
          <w:szCs w:val="24"/>
        </w:rPr>
        <w:t>výsledkov štatistick</w:t>
      </w:r>
      <w:r w:rsidRPr="0051285C">
        <w:rPr>
          <w:b/>
          <w:sz w:val="24"/>
          <w:szCs w:val="24"/>
        </w:rPr>
        <w:t xml:space="preserve">ých výkazov </w:t>
      </w:r>
      <w:r w:rsidR="008066B2" w:rsidRPr="0051285C">
        <w:rPr>
          <w:b/>
          <w:sz w:val="24"/>
          <w:szCs w:val="24"/>
        </w:rPr>
        <w:t>o akademických knižniciach SR</w:t>
      </w:r>
      <w:r w:rsidRPr="0051285C">
        <w:rPr>
          <w:b/>
          <w:sz w:val="24"/>
          <w:szCs w:val="24"/>
        </w:rPr>
        <w:t>)</w:t>
      </w:r>
    </w:p>
    <w:p w:rsidR="008066B2" w:rsidRDefault="008066B2"/>
    <w:p w:rsidR="00EC5569" w:rsidRPr="00111776" w:rsidRDefault="00EC5569" w:rsidP="00B25F0A">
      <w:pPr>
        <w:spacing w:before="120" w:after="0" w:line="360" w:lineRule="auto"/>
        <w:ind w:firstLine="708"/>
        <w:jc w:val="both"/>
        <w:rPr>
          <w:sz w:val="20"/>
          <w:szCs w:val="20"/>
        </w:rPr>
      </w:pPr>
      <w:r w:rsidRPr="00111776">
        <w:rPr>
          <w:sz w:val="20"/>
          <w:szCs w:val="20"/>
        </w:rPr>
        <w:t xml:space="preserve">Základné parametre činnosti akademických  knižníc </w:t>
      </w:r>
      <w:r w:rsidR="00B25F0A" w:rsidRPr="00111776">
        <w:rPr>
          <w:sz w:val="20"/>
          <w:szCs w:val="20"/>
        </w:rPr>
        <w:t>(ďalej AK)</w:t>
      </w:r>
      <w:r w:rsidR="00111776" w:rsidRPr="00111776">
        <w:rPr>
          <w:sz w:val="20"/>
          <w:szCs w:val="20"/>
        </w:rPr>
        <w:t xml:space="preserve"> </w:t>
      </w:r>
      <w:r w:rsidRPr="00111776">
        <w:rPr>
          <w:sz w:val="20"/>
          <w:szCs w:val="20"/>
        </w:rPr>
        <w:t>definované v platnej legislatíve</w:t>
      </w:r>
      <w:r w:rsidRPr="00111776">
        <w:rPr>
          <w:rStyle w:val="Odkaznapoznmkupodiarou"/>
          <w:sz w:val="20"/>
          <w:szCs w:val="20"/>
        </w:rPr>
        <w:footnoteReference w:id="1"/>
      </w:r>
      <w:r w:rsidRPr="00111776">
        <w:rPr>
          <w:sz w:val="20"/>
          <w:szCs w:val="20"/>
        </w:rPr>
        <w:t xml:space="preserve">, </w:t>
      </w:r>
      <w:r w:rsidR="00B25F0A" w:rsidRPr="00111776">
        <w:rPr>
          <w:sz w:val="20"/>
          <w:szCs w:val="20"/>
        </w:rPr>
        <w:t xml:space="preserve">boli novelizované v zmysle </w:t>
      </w:r>
      <w:r w:rsidRPr="00111776">
        <w:rPr>
          <w:sz w:val="20"/>
          <w:szCs w:val="20"/>
        </w:rPr>
        <w:t>rozšíren</w:t>
      </w:r>
      <w:r w:rsidR="00B25F0A" w:rsidRPr="00111776">
        <w:rPr>
          <w:sz w:val="20"/>
          <w:szCs w:val="20"/>
        </w:rPr>
        <w:t xml:space="preserve">ia zodpovednosti </w:t>
      </w:r>
      <w:r w:rsidR="00111776">
        <w:rPr>
          <w:sz w:val="20"/>
          <w:szCs w:val="20"/>
        </w:rPr>
        <w:t>AK za činnosti súvisiace</w:t>
      </w:r>
      <w:r w:rsidR="00B25F0A" w:rsidRPr="00111776">
        <w:rPr>
          <w:sz w:val="20"/>
          <w:szCs w:val="20"/>
        </w:rPr>
        <w:t xml:space="preserve">  s registráciou publikačných a umeleckých aktivít zamestnancov vysokých škôl</w:t>
      </w:r>
      <w:r w:rsidR="00B25F0A" w:rsidRPr="00111776">
        <w:rPr>
          <w:rStyle w:val="Odkaznapoznmkupodiarou"/>
          <w:sz w:val="20"/>
          <w:szCs w:val="20"/>
        </w:rPr>
        <w:footnoteReference w:id="2"/>
      </w:r>
      <w:r w:rsidR="00B25F0A" w:rsidRPr="00111776">
        <w:rPr>
          <w:sz w:val="20"/>
          <w:szCs w:val="20"/>
        </w:rPr>
        <w:t>.</w:t>
      </w:r>
      <w:r w:rsidRPr="00111776">
        <w:rPr>
          <w:sz w:val="20"/>
          <w:szCs w:val="20"/>
        </w:rPr>
        <w:t xml:space="preserve"> </w:t>
      </w:r>
    </w:p>
    <w:p w:rsidR="000D4693" w:rsidRPr="00111776" w:rsidRDefault="000D4693" w:rsidP="000D4693">
      <w:pPr>
        <w:spacing w:before="120" w:after="0" w:line="360" w:lineRule="auto"/>
        <w:jc w:val="both"/>
        <w:rPr>
          <w:sz w:val="20"/>
          <w:szCs w:val="20"/>
        </w:rPr>
      </w:pPr>
      <w:r w:rsidRPr="00111776">
        <w:rPr>
          <w:sz w:val="20"/>
          <w:szCs w:val="20"/>
        </w:rPr>
        <w:t xml:space="preserve">Verejná kontrola činnosti akademických knižníc sa uskutočňuje viacerými spôsobmi, jedným z nich je celoštátne štatistické zisťovanie, ktoré  v rezorte školstva zabezpečuje centrálne Ústav školských informácií a štatistiky (ÚIPŠ) v Bratislave v spolupráci s úsekom metodiky akademických knižníc Slovenskej pedagogickej knižnice v Bratislave. Od roku 2011 sa uskutočňuje štatistické zisťovanie prostredníctvom webového rozhrania ÚIPŠ/CVTI SR, ktoré zabezpečuje spracovanie dát vykazujúcich inštitúcií a poskytuje výstupné informácie Ministerstvu školstva vedy, výskumu a športu (MŠVVaŠ SR) Sekcii vysokých škôl – odbor vysokoškolského vzdelávania a  Ministerstvu kultúry a odboru knižničného systému SNK v Martine. </w:t>
      </w:r>
    </w:p>
    <w:p w:rsidR="008066B2" w:rsidRPr="00111776" w:rsidRDefault="008065E7" w:rsidP="00027702">
      <w:pPr>
        <w:spacing w:line="360" w:lineRule="auto"/>
        <w:jc w:val="both"/>
        <w:rPr>
          <w:rFonts w:cs="Arial"/>
          <w:sz w:val="20"/>
          <w:szCs w:val="20"/>
        </w:rPr>
      </w:pPr>
      <w:r w:rsidRPr="00111776">
        <w:rPr>
          <w:sz w:val="20"/>
          <w:szCs w:val="20"/>
        </w:rPr>
        <w:t xml:space="preserve">Do štatistického výkazu o akademických knižniciach na rok 2013 boli zaradené </w:t>
      </w:r>
      <w:r w:rsidRPr="00111776">
        <w:rPr>
          <w:b/>
          <w:sz w:val="20"/>
          <w:szCs w:val="20"/>
        </w:rPr>
        <w:t>nové položky</w:t>
      </w:r>
      <w:r w:rsidRPr="00111776">
        <w:rPr>
          <w:sz w:val="20"/>
          <w:szCs w:val="20"/>
        </w:rPr>
        <w:t xml:space="preserve">, ktoré </w:t>
      </w:r>
      <w:r w:rsidR="00027702">
        <w:rPr>
          <w:sz w:val="20"/>
          <w:szCs w:val="20"/>
        </w:rPr>
        <w:t xml:space="preserve">majú zabezpečiť  spoľahlivé sledovanie výkonnosti akademických knižníc v nových oblastiach činnosti a umožniť porovnávanie s ostatnými knižnicami v rámci knižničného systému SR, ale i so zahraničnými knižnicami. Nové položky sa </w:t>
      </w:r>
      <w:r w:rsidRPr="00111776">
        <w:rPr>
          <w:sz w:val="20"/>
          <w:szCs w:val="20"/>
        </w:rPr>
        <w:t xml:space="preserve"> týka</w:t>
      </w:r>
      <w:r w:rsidR="00027702">
        <w:rPr>
          <w:sz w:val="20"/>
          <w:szCs w:val="20"/>
        </w:rPr>
        <w:t>jú</w:t>
      </w:r>
      <w:r w:rsidRPr="00111776">
        <w:rPr>
          <w:sz w:val="20"/>
          <w:szCs w:val="20"/>
        </w:rPr>
        <w:t xml:space="preserve"> </w:t>
      </w:r>
      <w:r w:rsidR="00027702">
        <w:rPr>
          <w:sz w:val="20"/>
          <w:szCs w:val="20"/>
        </w:rPr>
        <w:t xml:space="preserve">dokumentov a služieb, ktoré knižnice implementovali do svojej ponuky v súlade s rozvojom moderných informačných technológií a produktov: </w:t>
      </w:r>
      <w:r w:rsidR="00A2250B" w:rsidRPr="00111776">
        <w:rPr>
          <w:sz w:val="20"/>
          <w:szCs w:val="20"/>
        </w:rPr>
        <w:t>elektronick</w:t>
      </w:r>
      <w:r w:rsidR="00027702">
        <w:rPr>
          <w:sz w:val="20"/>
          <w:szCs w:val="20"/>
        </w:rPr>
        <w:t>é</w:t>
      </w:r>
      <w:r w:rsidR="00A2250B" w:rsidRPr="00111776">
        <w:rPr>
          <w:sz w:val="20"/>
          <w:szCs w:val="20"/>
        </w:rPr>
        <w:t xml:space="preserve"> dokument</w:t>
      </w:r>
      <w:r w:rsidR="00027702">
        <w:rPr>
          <w:sz w:val="20"/>
          <w:szCs w:val="20"/>
        </w:rPr>
        <w:t>y a databázy</w:t>
      </w:r>
      <w:r w:rsidR="00A2250B" w:rsidRPr="00111776">
        <w:rPr>
          <w:sz w:val="20"/>
          <w:szCs w:val="20"/>
        </w:rPr>
        <w:t>,</w:t>
      </w:r>
      <w:r w:rsidR="00027702">
        <w:rPr>
          <w:sz w:val="20"/>
          <w:szCs w:val="20"/>
        </w:rPr>
        <w:t xml:space="preserve">  služ</w:t>
      </w:r>
      <w:r w:rsidR="00A2250B" w:rsidRPr="00111776">
        <w:rPr>
          <w:sz w:val="20"/>
          <w:szCs w:val="20"/>
        </w:rPr>
        <w:t>b</w:t>
      </w:r>
      <w:r w:rsidR="00027702">
        <w:rPr>
          <w:sz w:val="20"/>
          <w:szCs w:val="20"/>
        </w:rPr>
        <w:t>y</w:t>
      </w:r>
      <w:r w:rsidR="00A2250B" w:rsidRPr="00111776">
        <w:rPr>
          <w:sz w:val="20"/>
          <w:szCs w:val="20"/>
        </w:rPr>
        <w:t xml:space="preserve"> poskytovan</w:t>
      </w:r>
      <w:r w:rsidR="00027702">
        <w:rPr>
          <w:sz w:val="20"/>
          <w:szCs w:val="20"/>
        </w:rPr>
        <w:t>é</w:t>
      </w:r>
      <w:r w:rsidR="00A2250B" w:rsidRPr="00111776">
        <w:rPr>
          <w:sz w:val="20"/>
          <w:szCs w:val="20"/>
        </w:rPr>
        <w:t xml:space="preserve"> na báze internetu – </w:t>
      </w:r>
      <w:r w:rsidR="00A2250B" w:rsidRPr="00111776">
        <w:rPr>
          <w:i/>
          <w:sz w:val="20"/>
          <w:szCs w:val="20"/>
        </w:rPr>
        <w:t>elektronické referenčné služby</w:t>
      </w:r>
      <w:r w:rsidR="00027702">
        <w:rPr>
          <w:i/>
          <w:sz w:val="20"/>
          <w:szCs w:val="20"/>
        </w:rPr>
        <w:t xml:space="preserve">. </w:t>
      </w:r>
      <w:r w:rsidR="00A2250B" w:rsidRPr="00111776">
        <w:rPr>
          <w:sz w:val="20"/>
          <w:szCs w:val="20"/>
        </w:rPr>
        <w:t xml:space="preserve"> Za účasti zástupcu MŠVVŠ SR sa k  metodike a obsahu nových položiek sa uskutočnila pracovná porada zástupcov akademických knižníc v januári r. 2013. Prispelo to k objasneniu rozdielnych pohľadov na obsah nových položiek a dohodli sa zdroje, ktoré sa pri ich vypĺňaní budú využívať</w:t>
      </w:r>
      <w:r w:rsidR="00027702">
        <w:rPr>
          <w:sz w:val="20"/>
          <w:szCs w:val="20"/>
        </w:rPr>
        <w:t>.</w:t>
      </w:r>
    </w:p>
    <w:p w:rsidR="00824593" w:rsidRPr="00111776" w:rsidRDefault="00824593">
      <w:pPr>
        <w:rPr>
          <w:b/>
          <w:sz w:val="20"/>
          <w:szCs w:val="20"/>
          <w:u w:val="single"/>
        </w:rPr>
      </w:pPr>
      <w:r w:rsidRPr="00111776">
        <w:rPr>
          <w:b/>
          <w:sz w:val="20"/>
          <w:szCs w:val="20"/>
          <w:u w:val="single"/>
        </w:rPr>
        <w:t xml:space="preserve">Sieť akademických knižníc </w:t>
      </w:r>
    </w:p>
    <w:p w:rsidR="000D4693" w:rsidRPr="00111776" w:rsidRDefault="000D4693" w:rsidP="000D4693">
      <w:pPr>
        <w:spacing w:before="120" w:after="0" w:line="360" w:lineRule="auto"/>
        <w:jc w:val="both"/>
        <w:rPr>
          <w:sz w:val="20"/>
          <w:szCs w:val="20"/>
        </w:rPr>
      </w:pPr>
      <w:r w:rsidRPr="00111776">
        <w:rPr>
          <w:sz w:val="20"/>
          <w:szCs w:val="20"/>
        </w:rPr>
        <w:t>Sieť akademických knižníc tvoria knižnice verejných, štátnych i súkromných vysokých škôl, ktoré sa akreditovali v rezorte MŠVVaŠ SR. V roku 2013 vykazovalo MŠVVaŠ SR spolu 3</w:t>
      </w:r>
      <w:r w:rsidR="00A2250B" w:rsidRPr="00111776">
        <w:rPr>
          <w:sz w:val="20"/>
          <w:szCs w:val="20"/>
        </w:rPr>
        <w:t>6</w:t>
      </w:r>
      <w:r w:rsidRPr="00111776">
        <w:rPr>
          <w:sz w:val="20"/>
          <w:szCs w:val="20"/>
        </w:rPr>
        <w:t xml:space="preserve"> slovenských vysokých škôl</w:t>
      </w:r>
      <w:r w:rsidR="00A2250B" w:rsidRPr="00111776">
        <w:rPr>
          <w:sz w:val="20"/>
          <w:szCs w:val="20"/>
        </w:rPr>
        <w:t xml:space="preserve"> </w:t>
      </w:r>
      <w:r w:rsidR="0023209B" w:rsidRPr="00111776">
        <w:rPr>
          <w:sz w:val="20"/>
          <w:szCs w:val="20"/>
        </w:rPr>
        <w:t>(2</w:t>
      </w:r>
      <w:r w:rsidR="00A2250B" w:rsidRPr="00111776">
        <w:rPr>
          <w:sz w:val="20"/>
          <w:szCs w:val="20"/>
        </w:rPr>
        <w:t>0</w:t>
      </w:r>
      <w:r w:rsidR="0023209B" w:rsidRPr="00111776">
        <w:rPr>
          <w:sz w:val="20"/>
          <w:szCs w:val="20"/>
        </w:rPr>
        <w:t xml:space="preserve"> verejných VŠ, 3 štátne VŠ, 13 súkromných VŠ</w:t>
      </w:r>
      <w:r w:rsidR="00571635">
        <w:rPr>
          <w:rStyle w:val="Odkaznapoznmkupodiarou"/>
          <w:sz w:val="20"/>
          <w:szCs w:val="20"/>
        </w:rPr>
        <w:footnoteReference w:id="3"/>
      </w:r>
      <w:r w:rsidR="0023209B" w:rsidRPr="00111776">
        <w:rPr>
          <w:sz w:val="20"/>
          <w:szCs w:val="20"/>
        </w:rPr>
        <w:t>)</w:t>
      </w:r>
      <w:r w:rsidRPr="00111776">
        <w:rPr>
          <w:sz w:val="20"/>
          <w:szCs w:val="20"/>
        </w:rPr>
        <w:t xml:space="preserve"> , v rámci ktorých pôsobilo celkom 4</w:t>
      </w:r>
      <w:r w:rsidR="0023209B" w:rsidRPr="00111776">
        <w:rPr>
          <w:sz w:val="20"/>
          <w:szCs w:val="20"/>
        </w:rPr>
        <w:t>0</w:t>
      </w:r>
      <w:r w:rsidRPr="00111776">
        <w:rPr>
          <w:sz w:val="20"/>
          <w:szCs w:val="20"/>
        </w:rPr>
        <w:t xml:space="preserve"> AK. Rozdiel je daný nejednotnou organizačnou štruktúrou akademických knižníc v rámci vysokých škôl (väčšina AK je centralizovaným typom knižnice, tzn. že vysoká škola má jednu ústrednú </w:t>
      </w:r>
      <w:proofErr w:type="spellStart"/>
      <w:r w:rsidRPr="00111776">
        <w:rPr>
          <w:sz w:val="20"/>
          <w:szCs w:val="20"/>
        </w:rPr>
        <w:t>celouniverzitnú</w:t>
      </w:r>
      <w:proofErr w:type="spellEnd"/>
      <w:r w:rsidRPr="00111776">
        <w:rPr>
          <w:sz w:val="20"/>
          <w:szCs w:val="20"/>
        </w:rPr>
        <w:t xml:space="preserve"> knižnicu, výnimkou je STU,  kde samostatnými vykazujúcimi knižnicami sú fakultné knižnice, spolu 7 AK). Informácie o sieti akademických knižníc poskytujú ústredné knižnice, ktoré metodicky riadia činnosť fakultných, príp. čiastkových knižníc; v roku 201</w:t>
      </w:r>
      <w:r w:rsidR="0023209B" w:rsidRPr="00111776">
        <w:rPr>
          <w:sz w:val="20"/>
          <w:szCs w:val="20"/>
        </w:rPr>
        <w:t>3</w:t>
      </w:r>
      <w:r w:rsidRPr="00111776">
        <w:rPr>
          <w:sz w:val="20"/>
          <w:szCs w:val="20"/>
        </w:rPr>
        <w:t xml:space="preserve"> to bolo celkom 4</w:t>
      </w:r>
      <w:r w:rsidR="00A2250B" w:rsidRPr="00111776">
        <w:rPr>
          <w:sz w:val="20"/>
          <w:szCs w:val="20"/>
        </w:rPr>
        <w:t>0</w:t>
      </w:r>
      <w:r w:rsidRPr="00111776">
        <w:rPr>
          <w:sz w:val="20"/>
          <w:szCs w:val="20"/>
        </w:rPr>
        <w:t xml:space="preserve"> </w:t>
      </w:r>
      <w:r w:rsidR="00A2250B" w:rsidRPr="00111776">
        <w:rPr>
          <w:sz w:val="20"/>
          <w:szCs w:val="20"/>
        </w:rPr>
        <w:t>A</w:t>
      </w:r>
      <w:r w:rsidRPr="00111776">
        <w:rPr>
          <w:sz w:val="20"/>
          <w:szCs w:val="20"/>
        </w:rPr>
        <w:t>K (štatistický výkaz nevyplnili Akadémia médií v</w:t>
      </w:r>
      <w:r w:rsidR="0023209B" w:rsidRPr="00111776">
        <w:rPr>
          <w:sz w:val="20"/>
          <w:szCs w:val="20"/>
        </w:rPr>
        <w:t> </w:t>
      </w:r>
      <w:r w:rsidRPr="00111776">
        <w:rPr>
          <w:sz w:val="20"/>
          <w:szCs w:val="20"/>
        </w:rPr>
        <w:t>Bratislave</w:t>
      </w:r>
      <w:r w:rsidR="0023209B" w:rsidRPr="00111776">
        <w:rPr>
          <w:sz w:val="20"/>
          <w:szCs w:val="20"/>
        </w:rPr>
        <w:t xml:space="preserve"> a Vysoká škola </w:t>
      </w:r>
      <w:proofErr w:type="spellStart"/>
      <w:r w:rsidR="0023209B" w:rsidRPr="00111776">
        <w:rPr>
          <w:sz w:val="20"/>
          <w:szCs w:val="20"/>
        </w:rPr>
        <w:t>Goetheho</w:t>
      </w:r>
      <w:proofErr w:type="spellEnd"/>
      <w:r w:rsidR="0023209B" w:rsidRPr="00111776">
        <w:rPr>
          <w:sz w:val="20"/>
          <w:szCs w:val="20"/>
        </w:rPr>
        <w:t xml:space="preserve"> </w:t>
      </w:r>
      <w:proofErr w:type="spellStart"/>
      <w:r w:rsidR="0023209B" w:rsidRPr="00111776">
        <w:rPr>
          <w:sz w:val="20"/>
          <w:szCs w:val="20"/>
        </w:rPr>
        <w:t>Uni</w:t>
      </w:r>
      <w:proofErr w:type="spellEnd"/>
      <w:r w:rsidR="0023209B" w:rsidRPr="00111776">
        <w:rPr>
          <w:sz w:val="20"/>
          <w:szCs w:val="20"/>
        </w:rPr>
        <w:t xml:space="preserve"> v</w:t>
      </w:r>
      <w:r w:rsidR="00A2250B" w:rsidRPr="00111776">
        <w:rPr>
          <w:sz w:val="20"/>
          <w:szCs w:val="20"/>
        </w:rPr>
        <w:t> </w:t>
      </w:r>
      <w:r w:rsidR="0023209B" w:rsidRPr="00111776">
        <w:rPr>
          <w:sz w:val="20"/>
          <w:szCs w:val="20"/>
        </w:rPr>
        <w:t>Bratislave</w:t>
      </w:r>
      <w:r w:rsidR="00A2250B" w:rsidRPr="00111776">
        <w:rPr>
          <w:sz w:val="20"/>
          <w:szCs w:val="20"/>
        </w:rPr>
        <w:t>, ktoré ešte nemajú zriadenú knižnicu</w:t>
      </w:r>
      <w:r w:rsidRPr="00111776">
        <w:rPr>
          <w:sz w:val="20"/>
          <w:szCs w:val="20"/>
        </w:rPr>
        <w:t xml:space="preserve">). V rámci verejných a štátnych vysokých škôl je počet </w:t>
      </w:r>
      <w:r w:rsidRPr="00111776">
        <w:rPr>
          <w:sz w:val="20"/>
          <w:szCs w:val="20"/>
        </w:rPr>
        <w:lastRenderedPageBreak/>
        <w:t xml:space="preserve">akademických knižníc dlhšie stabilizovaný, zmeny sú len v rámci súkromných vysokých škôl; </w:t>
      </w:r>
      <w:r w:rsidR="0023209B" w:rsidRPr="00111776">
        <w:rPr>
          <w:sz w:val="20"/>
          <w:szCs w:val="20"/>
        </w:rPr>
        <w:t xml:space="preserve">od r. </w:t>
      </w:r>
      <w:r w:rsidRPr="00111776">
        <w:rPr>
          <w:sz w:val="20"/>
          <w:szCs w:val="20"/>
        </w:rPr>
        <w:t>2011 pribudli dve nové súkromné vysoké školy: Hudobná a umelecká akadémia Jána Albrechta v Banskej Štiavnici a Akadémia médií v</w:t>
      </w:r>
      <w:r w:rsidR="0023209B" w:rsidRPr="00111776">
        <w:rPr>
          <w:sz w:val="20"/>
          <w:szCs w:val="20"/>
        </w:rPr>
        <w:t> </w:t>
      </w:r>
      <w:r w:rsidRPr="00111776">
        <w:rPr>
          <w:sz w:val="20"/>
          <w:szCs w:val="20"/>
        </w:rPr>
        <w:t>Bratislave</w:t>
      </w:r>
      <w:r w:rsidR="0023209B" w:rsidRPr="00111776">
        <w:rPr>
          <w:sz w:val="20"/>
          <w:szCs w:val="20"/>
        </w:rPr>
        <w:t xml:space="preserve"> a v r. 2012 Vysoká škola </w:t>
      </w:r>
      <w:proofErr w:type="spellStart"/>
      <w:r w:rsidR="0023209B" w:rsidRPr="00111776">
        <w:rPr>
          <w:sz w:val="20"/>
          <w:szCs w:val="20"/>
        </w:rPr>
        <w:t>Goetheho</w:t>
      </w:r>
      <w:proofErr w:type="spellEnd"/>
      <w:r w:rsidR="0023209B" w:rsidRPr="00111776">
        <w:rPr>
          <w:sz w:val="20"/>
          <w:szCs w:val="20"/>
        </w:rPr>
        <w:t xml:space="preserve"> </w:t>
      </w:r>
      <w:proofErr w:type="spellStart"/>
      <w:r w:rsidR="0023209B" w:rsidRPr="00111776">
        <w:rPr>
          <w:sz w:val="20"/>
          <w:szCs w:val="20"/>
        </w:rPr>
        <w:t>Uni</w:t>
      </w:r>
      <w:proofErr w:type="spellEnd"/>
      <w:r w:rsidR="0023209B" w:rsidRPr="00111776">
        <w:rPr>
          <w:sz w:val="20"/>
          <w:szCs w:val="20"/>
        </w:rPr>
        <w:t xml:space="preserve"> v Bratislave</w:t>
      </w:r>
      <w:r w:rsidRPr="00111776">
        <w:rPr>
          <w:sz w:val="20"/>
          <w:szCs w:val="20"/>
        </w:rPr>
        <w:t xml:space="preserve">. </w:t>
      </w:r>
      <w:r w:rsidR="0023209B" w:rsidRPr="00111776">
        <w:rPr>
          <w:sz w:val="20"/>
          <w:szCs w:val="20"/>
        </w:rPr>
        <w:t xml:space="preserve">Aj v tomto roku pokračovala spolupráca </w:t>
      </w:r>
      <w:r w:rsidRPr="00111776">
        <w:rPr>
          <w:sz w:val="20"/>
          <w:szCs w:val="20"/>
        </w:rPr>
        <w:t xml:space="preserve"> Stredoeurópsk</w:t>
      </w:r>
      <w:r w:rsidR="0023209B" w:rsidRPr="00111776">
        <w:rPr>
          <w:sz w:val="20"/>
          <w:szCs w:val="20"/>
        </w:rPr>
        <w:t xml:space="preserve">ej vysokej </w:t>
      </w:r>
      <w:r w:rsidRPr="00111776">
        <w:rPr>
          <w:sz w:val="20"/>
          <w:szCs w:val="20"/>
        </w:rPr>
        <w:t>škol</w:t>
      </w:r>
      <w:r w:rsidR="0023209B" w:rsidRPr="00111776">
        <w:rPr>
          <w:sz w:val="20"/>
          <w:szCs w:val="20"/>
        </w:rPr>
        <w:t>y</w:t>
      </w:r>
      <w:r w:rsidRPr="00111776">
        <w:rPr>
          <w:sz w:val="20"/>
          <w:szCs w:val="20"/>
        </w:rPr>
        <w:t xml:space="preserve"> v</w:t>
      </w:r>
      <w:r w:rsidR="0023209B" w:rsidRPr="00111776">
        <w:rPr>
          <w:sz w:val="20"/>
          <w:szCs w:val="20"/>
        </w:rPr>
        <w:t> </w:t>
      </w:r>
      <w:r w:rsidRPr="00111776">
        <w:rPr>
          <w:sz w:val="20"/>
          <w:szCs w:val="20"/>
        </w:rPr>
        <w:t>Skalici</w:t>
      </w:r>
      <w:r w:rsidR="0023209B" w:rsidRPr="00111776">
        <w:rPr>
          <w:sz w:val="20"/>
          <w:szCs w:val="20"/>
        </w:rPr>
        <w:t xml:space="preserve"> s </w:t>
      </w:r>
      <w:r w:rsidR="00E97F48" w:rsidRPr="00111776">
        <w:rPr>
          <w:sz w:val="20"/>
          <w:szCs w:val="20"/>
        </w:rPr>
        <w:t>M</w:t>
      </w:r>
      <w:r w:rsidR="0023209B" w:rsidRPr="00111776">
        <w:rPr>
          <w:sz w:val="20"/>
          <w:szCs w:val="20"/>
        </w:rPr>
        <w:t xml:space="preserve">estskou knižnicou </w:t>
      </w:r>
      <w:r w:rsidR="00E97F48" w:rsidRPr="00111776">
        <w:rPr>
          <w:sz w:val="20"/>
          <w:szCs w:val="20"/>
        </w:rPr>
        <w:t>v Skalici.</w:t>
      </w:r>
      <w:r w:rsidRPr="00111776">
        <w:rPr>
          <w:sz w:val="20"/>
          <w:szCs w:val="20"/>
        </w:rPr>
        <w:t xml:space="preserve"> </w:t>
      </w:r>
    </w:p>
    <w:p w:rsidR="00FA62EB" w:rsidRPr="00111776" w:rsidRDefault="00FA62EB" w:rsidP="00FA62EB">
      <w:pPr>
        <w:pStyle w:val="Popis"/>
        <w:keepNext/>
        <w:rPr>
          <w:rFonts w:asciiTheme="minorHAnsi" w:hAnsiTheme="minorHAnsi"/>
        </w:rPr>
      </w:pPr>
      <w:r w:rsidRPr="00111776">
        <w:rPr>
          <w:rFonts w:asciiTheme="minorHAnsi" w:hAnsiTheme="minorHAnsi"/>
        </w:rPr>
        <w:t xml:space="preserve">Tabuľka </w:t>
      </w:r>
      <w:r w:rsidR="00D906DF" w:rsidRPr="00111776">
        <w:rPr>
          <w:rFonts w:asciiTheme="minorHAnsi" w:hAnsiTheme="minorHAnsi"/>
        </w:rPr>
        <w:fldChar w:fldCharType="begin"/>
      </w:r>
      <w:r w:rsidR="000B63D7" w:rsidRPr="00111776">
        <w:rPr>
          <w:rFonts w:asciiTheme="minorHAnsi" w:hAnsiTheme="minorHAnsi"/>
        </w:rPr>
        <w:instrText xml:space="preserve"> SEQ Tabuľka \* ARABIC </w:instrText>
      </w:r>
      <w:r w:rsidR="00D906DF" w:rsidRPr="00111776">
        <w:rPr>
          <w:rFonts w:asciiTheme="minorHAnsi" w:hAnsiTheme="minorHAnsi"/>
        </w:rPr>
        <w:fldChar w:fldCharType="separate"/>
      </w:r>
      <w:r w:rsidR="00243109" w:rsidRPr="00111776">
        <w:rPr>
          <w:rFonts w:asciiTheme="minorHAnsi" w:hAnsiTheme="minorHAnsi"/>
          <w:noProof/>
        </w:rPr>
        <w:t>1</w:t>
      </w:r>
      <w:r w:rsidR="00D906DF" w:rsidRPr="00111776">
        <w:rPr>
          <w:rFonts w:asciiTheme="minorHAnsi" w:hAnsiTheme="minorHAnsi"/>
        </w:rPr>
        <w:fldChar w:fldCharType="end"/>
      </w:r>
      <w:r w:rsidRPr="00111776">
        <w:rPr>
          <w:rFonts w:asciiTheme="minorHAnsi" w:hAnsiTheme="minorHAnsi"/>
        </w:rPr>
        <w:t>: Sieť akademických knižníc v r. 201</w:t>
      </w:r>
      <w:r w:rsidR="00151241" w:rsidRPr="00111776">
        <w:rPr>
          <w:rFonts w:asciiTheme="minorHAnsi" w:hAnsiTheme="minorHAnsi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1658"/>
        <w:gridCol w:w="1423"/>
        <w:gridCol w:w="1837"/>
        <w:gridCol w:w="1808"/>
      </w:tblGrid>
      <w:tr w:rsidR="00FA62EB" w:rsidRPr="00111776" w:rsidTr="00151241">
        <w:trPr>
          <w:jc w:val="center"/>
        </w:trPr>
        <w:tc>
          <w:tcPr>
            <w:tcW w:w="1994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FA62EB" w:rsidRPr="00111776" w:rsidRDefault="00151241" w:rsidP="00151241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Verejné VŠ (</w:t>
            </w:r>
            <w:r w:rsidR="00FA62EB" w:rsidRPr="00111776">
              <w:rPr>
                <w:sz w:val="20"/>
                <w:szCs w:val="20"/>
              </w:rPr>
              <w:t>20)</w:t>
            </w:r>
          </w:p>
        </w:tc>
        <w:tc>
          <w:tcPr>
            <w:tcW w:w="1423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Štátne VŠ (3)</w:t>
            </w:r>
          </w:p>
        </w:tc>
        <w:tc>
          <w:tcPr>
            <w:tcW w:w="1837" w:type="dxa"/>
          </w:tcPr>
          <w:p w:rsidR="00FA62EB" w:rsidRPr="00111776" w:rsidRDefault="00FA62EB" w:rsidP="0023209B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Súkromné VŠ (1</w:t>
            </w:r>
            <w:r w:rsidR="0023209B" w:rsidRPr="00111776">
              <w:rPr>
                <w:sz w:val="20"/>
                <w:szCs w:val="20"/>
              </w:rPr>
              <w:t>3</w:t>
            </w:r>
            <w:r w:rsidRPr="00111776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FA62EB" w:rsidRPr="00111776" w:rsidRDefault="00FA62EB" w:rsidP="0023209B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Všetky VŠ (3</w:t>
            </w:r>
            <w:r w:rsidR="0023209B" w:rsidRPr="00111776">
              <w:rPr>
                <w:sz w:val="20"/>
                <w:szCs w:val="20"/>
              </w:rPr>
              <w:t>6</w:t>
            </w:r>
            <w:r w:rsidRPr="00111776">
              <w:rPr>
                <w:sz w:val="20"/>
                <w:szCs w:val="20"/>
              </w:rPr>
              <w:t>)</w:t>
            </w:r>
          </w:p>
        </w:tc>
      </w:tr>
      <w:tr w:rsidR="00FA62EB" w:rsidRPr="00111776" w:rsidTr="00151241">
        <w:trPr>
          <w:jc w:val="center"/>
        </w:trPr>
        <w:tc>
          <w:tcPr>
            <w:tcW w:w="1994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Ústredné knižnice</w:t>
            </w:r>
          </w:p>
        </w:tc>
        <w:tc>
          <w:tcPr>
            <w:tcW w:w="1658" w:type="dxa"/>
          </w:tcPr>
          <w:p w:rsidR="00FA62EB" w:rsidRPr="00111776" w:rsidRDefault="00FA62EB" w:rsidP="00FA62EB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20,00</w:t>
            </w:r>
          </w:p>
        </w:tc>
        <w:tc>
          <w:tcPr>
            <w:tcW w:w="1423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3,00</w:t>
            </w:r>
          </w:p>
        </w:tc>
        <w:tc>
          <w:tcPr>
            <w:tcW w:w="1837" w:type="dxa"/>
          </w:tcPr>
          <w:p w:rsidR="00FA62EB" w:rsidRPr="00111776" w:rsidRDefault="00FA62EB" w:rsidP="00FA62EB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11,00</w:t>
            </w:r>
          </w:p>
        </w:tc>
        <w:tc>
          <w:tcPr>
            <w:tcW w:w="1808" w:type="dxa"/>
          </w:tcPr>
          <w:p w:rsidR="00FA62EB" w:rsidRPr="00111776" w:rsidRDefault="00FA62EB" w:rsidP="0023209B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</w:t>
            </w:r>
            <w:r w:rsidR="0023209B" w:rsidRPr="00111776">
              <w:rPr>
                <w:sz w:val="20"/>
                <w:szCs w:val="20"/>
              </w:rPr>
              <w:t>4</w:t>
            </w:r>
            <w:r w:rsidRPr="00111776">
              <w:rPr>
                <w:sz w:val="20"/>
                <w:szCs w:val="20"/>
              </w:rPr>
              <w:t>,00</w:t>
            </w:r>
          </w:p>
        </w:tc>
      </w:tr>
      <w:tr w:rsidR="00FA62EB" w:rsidRPr="00111776" w:rsidTr="00151241">
        <w:trPr>
          <w:jc w:val="center"/>
        </w:trPr>
        <w:tc>
          <w:tcPr>
            <w:tcW w:w="1994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      v tom fakultné</w:t>
            </w:r>
          </w:p>
        </w:tc>
        <w:tc>
          <w:tcPr>
            <w:tcW w:w="1658" w:type="dxa"/>
          </w:tcPr>
          <w:p w:rsidR="00FA62EB" w:rsidRPr="00111776" w:rsidRDefault="00FA62EB" w:rsidP="00FA62EB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24,00</w:t>
            </w:r>
          </w:p>
        </w:tc>
        <w:tc>
          <w:tcPr>
            <w:tcW w:w="1423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1,00</w:t>
            </w:r>
          </w:p>
        </w:tc>
        <w:tc>
          <w:tcPr>
            <w:tcW w:w="1808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26,00</w:t>
            </w:r>
          </w:p>
        </w:tc>
      </w:tr>
      <w:tr w:rsidR="00FA62EB" w:rsidRPr="00111776" w:rsidTr="00151241">
        <w:trPr>
          <w:jc w:val="center"/>
        </w:trPr>
        <w:tc>
          <w:tcPr>
            <w:tcW w:w="1994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čiastkové knižnice</w:t>
            </w:r>
          </w:p>
        </w:tc>
        <w:tc>
          <w:tcPr>
            <w:tcW w:w="1658" w:type="dxa"/>
          </w:tcPr>
          <w:p w:rsidR="00FA62EB" w:rsidRPr="00111776" w:rsidRDefault="00FA62EB" w:rsidP="00FA62EB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559,00</w:t>
            </w:r>
          </w:p>
        </w:tc>
        <w:tc>
          <w:tcPr>
            <w:tcW w:w="1423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</w:tcPr>
          <w:p w:rsidR="00FA62EB" w:rsidRPr="00111776" w:rsidRDefault="00FA62EB" w:rsidP="00FA62EB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15,00</w:t>
            </w:r>
          </w:p>
        </w:tc>
        <w:tc>
          <w:tcPr>
            <w:tcW w:w="1808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585,00</w:t>
            </w:r>
          </w:p>
        </w:tc>
      </w:tr>
      <w:tr w:rsidR="00FA62EB" w:rsidRPr="00111776" w:rsidTr="00151241">
        <w:trPr>
          <w:jc w:val="center"/>
        </w:trPr>
        <w:tc>
          <w:tcPr>
            <w:tcW w:w="1994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vykazujúce knižnice</w:t>
            </w:r>
          </w:p>
        </w:tc>
        <w:tc>
          <w:tcPr>
            <w:tcW w:w="1658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26,00</w:t>
            </w:r>
          </w:p>
        </w:tc>
        <w:tc>
          <w:tcPr>
            <w:tcW w:w="1423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3,00</w:t>
            </w:r>
          </w:p>
        </w:tc>
        <w:tc>
          <w:tcPr>
            <w:tcW w:w="1837" w:type="dxa"/>
          </w:tcPr>
          <w:p w:rsidR="00FA62EB" w:rsidRPr="00111776" w:rsidRDefault="00FA62EB" w:rsidP="00FA62EB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11,00</w:t>
            </w:r>
          </w:p>
        </w:tc>
        <w:tc>
          <w:tcPr>
            <w:tcW w:w="1808" w:type="dxa"/>
          </w:tcPr>
          <w:p w:rsidR="00FA62EB" w:rsidRPr="00111776" w:rsidRDefault="00FA62EB" w:rsidP="00FA62EB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40,00</w:t>
            </w:r>
          </w:p>
        </w:tc>
      </w:tr>
      <w:tr w:rsidR="00FA62EB" w:rsidRPr="00111776" w:rsidTr="00151241">
        <w:trPr>
          <w:jc w:val="center"/>
        </w:trPr>
        <w:tc>
          <w:tcPr>
            <w:tcW w:w="1994" w:type="dxa"/>
          </w:tcPr>
          <w:p w:rsidR="00FA62EB" w:rsidRPr="00111776" w:rsidRDefault="00FA62EB" w:rsidP="00FA62EB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Evidované v Zozname knižníc MK SR</w:t>
            </w:r>
          </w:p>
        </w:tc>
        <w:tc>
          <w:tcPr>
            <w:tcW w:w="1658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25</w:t>
            </w:r>
          </w:p>
        </w:tc>
        <w:tc>
          <w:tcPr>
            <w:tcW w:w="1423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FA62EB" w:rsidRPr="00111776" w:rsidRDefault="00FA62EB" w:rsidP="00FA62EB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10</w:t>
            </w:r>
          </w:p>
        </w:tc>
        <w:tc>
          <w:tcPr>
            <w:tcW w:w="1808" w:type="dxa"/>
          </w:tcPr>
          <w:p w:rsidR="00FA62EB" w:rsidRPr="00111776" w:rsidRDefault="00FA62E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38,00</w:t>
            </w:r>
          </w:p>
        </w:tc>
      </w:tr>
    </w:tbl>
    <w:p w:rsidR="00073C8E" w:rsidRPr="00111776" w:rsidRDefault="00073C8E">
      <w:pPr>
        <w:rPr>
          <w:sz w:val="20"/>
          <w:szCs w:val="20"/>
        </w:rPr>
      </w:pPr>
    </w:p>
    <w:p w:rsidR="00A2250B" w:rsidRPr="00111776" w:rsidRDefault="00A2250B">
      <w:pPr>
        <w:rPr>
          <w:b/>
          <w:sz w:val="20"/>
          <w:szCs w:val="20"/>
          <w:u w:val="single"/>
        </w:rPr>
      </w:pPr>
      <w:r w:rsidRPr="00111776">
        <w:rPr>
          <w:b/>
          <w:sz w:val="20"/>
          <w:szCs w:val="20"/>
          <w:u w:val="single"/>
        </w:rPr>
        <w:t>Knižničný fond</w:t>
      </w:r>
    </w:p>
    <w:p w:rsidR="00A2250B" w:rsidRPr="00111776" w:rsidRDefault="00695CBD" w:rsidP="00E82935">
      <w:pPr>
        <w:spacing w:line="360" w:lineRule="auto"/>
        <w:jc w:val="both"/>
        <w:rPr>
          <w:sz w:val="20"/>
          <w:szCs w:val="20"/>
        </w:rPr>
      </w:pPr>
      <w:r w:rsidRPr="00111776">
        <w:rPr>
          <w:sz w:val="20"/>
          <w:szCs w:val="20"/>
        </w:rPr>
        <w:t xml:space="preserve">Knižničný fond akademických knižníc k 31.12.2013 obsahoval </w:t>
      </w:r>
      <w:r w:rsidRPr="00111776">
        <w:rPr>
          <w:b/>
          <w:sz w:val="20"/>
          <w:szCs w:val="20"/>
        </w:rPr>
        <w:t>6 238 718 knižničných jednotiek</w:t>
      </w:r>
      <w:r w:rsidRPr="00111776">
        <w:rPr>
          <w:sz w:val="20"/>
          <w:szCs w:val="20"/>
        </w:rPr>
        <w:t xml:space="preserve"> (ďalej k. j.), čo je síce nárast o 128 029 k. j. oproti r. 2012, ale tvoria ho najmä prírastky darov a inak nadobudnuté dokumenty (graf č. 1). Darom získavajú AK dokumenty, ktoré vznikajú ako školské diela teda záverečné a kvalifikačné práce, za ktorých dlhodobú archiváciou a sprístupňovanie zodpovedajú</w:t>
      </w:r>
      <w:r w:rsidR="00EC5569" w:rsidRPr="00111776">
        <w:rPr>
          <w:sz w:val="20"/>
          <w:szCs w:val="20"/>
        </w:rPr>
        <w:t>.</w:t>
      </w:r>
      <w:r w:rsidRPr="00111776">
        <w:rPr>
          <w:sz w:val="20"/>
          <w:szCs w:val="20"/>
        </w:rPr>
        <w:t xml:space="preserve">   Iný spôsob získavania dokumentov okrem náhrad za stratenú literatúru zahŕňa aj k. j. spracované v rámci </w:t>
      </w:r>
      <w:proofErr w:type="spellStart"/>
      <w:r w:rsidRPr="00111776">
        <w:rPr>
          <w:sz w:val="20"/>
          <w:szCs w:val="20"/>
        </w:rPr>
        <w:t>retrokonverzie</w:t>
      </w:r>
      <w:proofErr w:type="spellEnd"/>
      <w:r w:rsidRPr="00111776">
        <w:rPr>
          <w:sz w:val="20"/>
          <w:szCs w:val="20"/>
        </w:rPr>
        <w:t xml:space="preserve"> a retrokatalogizácie  - ide o tzv. živý fond </w:t>
      </w:r>
      <w:r w:rsidR="00474E95" w:rsidRPr="00111776">
        <w:rPr>
          <w:sz w:val="20"/>
          <w:szCs w:val="20"/>
        </w:rPr>
        <w:t xml:space="preserve">knižnice, ktorý sa najviac požičiava. </w:t>
      </w:r>
    </w:p>
    <w:p w:rsidR="00EC18F9" w:rsidRPr="00111776" w:rsidRDefault="00EC18F9" w:rsidP="00151241">
      <w:pPr>
        <w:pStyle w:val="Popis"/>
        <w:keepNext/>
        <w:rPr>
          <w:rFonts w:asciiTheme="minorHAnsi" w:hAnsiTheme="minorHAnsi"/>
        </w:rPr>
      </w:pPr>
    </w:p>
    <w:p w:rsidR="00EC18F9" w:rsidRPr="00111776" w:rsidRDefault="00EC18F9" w:rsidP="00EC18F9">
      <w:pPr>
        <w:pStyle w:val="Popis"/>
        <w:keepNext/>
        <w:jc w:val="center"/>
        <w:rPr>
          <w:rFonts w:asciiTheme="minorHAnsi" w:hAnsiTheme="minorHAnsi"/>
        </w:rPr>
      </w:pPr>
      <w:r w:rsidRPr="00111776">
        <w:rPr>
          <w:rFonts w:asciiTheme="minorHAnsi" w:hAnsiTheme="minorHAnsi"/>
          <w:noProof/>
        </w:rPr>
        <w:drawing>
          <wp:inline distT="0" distB="0" distL="0" distR="0">
            <wp:extent cx="4572000" cy="2743200"/>
            <wp:effectExtent l="19050" t="0" r="19050" b="0"/>
            <wp:docPr id="1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18F9" w:rsidRPr="00111776" w:rsidRDefault="00EC18F9" w:rsidP="00EC18F9">
      <w:pPr>
        <w:jc w:val="center"/>
        <w:rPr>
          <w:b/>
          <w:sz w:val="20"/>
          <w:szCs w:val="20"/>
        </w:rPr>
      </w:pPr>
      <w:r w:rsidRPr="00111776">
        <w:rPr>
          <w:b/>
          <w:sz w:val="20"/>
          <w:szCs w:val="20"/>
        </w:rPr>
        <w:t>Graf 1: prírastky AK podľa spôsobu nadobudnutia v r. 2013</w:t>
      </w:r>
    </w:p>
    <w:p w:rsidR="00EC18F9" w:rsidRPr="00111776" w:rsidRDefault="00EC18F9" w:rsidP="00EC18F9">
      <w:pPr>
        <w:spacing w:before="120" w:after="0" w:line="360" w:lineRule="auto"/>
        <w:jc w:val="both"/>
        <w:rPr>
          <w:sz w:val="20"/>
          <w:szCs w:val="20"/>
        </w:rPr>
      </w:pPr>
      <w:r w:rsidRPr="00111776">
        <w:rPr>
          <w:sz w:val="20"/>
          <w:szCs w:val="20"/>
        </w:rPr>
        <w:lastRenderedPageBreak/>
        <w:t xml:space="preserve">Dôležitou súčasťou budovania knižničného fondu akademických knižníc je aj jeho pravidelná aktualizácia, čo platí najmä pre učebnicovú literatúru. Z nedávnych prieskumov, ktoré boli publikované k téme informačného vzdelávania vyplynulo, že učebnicovú literatúru vnímajú študenti ako najviac poddimenzovanú z hľadiska obsahového, druhového i kvantitatívneho. Vhodným nástrojom na odstránenie problémov spojených s nedostatkom výučbových materiálov by mohlo byť väčšie využívanie </w:t>
      </w:r>
      <w:proofErr w:type="spellStart"/>
      <w:r w:rsidRPr="00111776">
        <w:rPr>
          <w:sz w:val="20"/>
          <w:szCs w:val="20"/>
        </w:rPr>
        <w:t>e-publikovania</w:t>
      </w:r>
      <w:proofErr w:type="spellEnd"/>
      <w:r w:rsidRPr="00111776">
        <w:rPr>
          <w:sz w:val="20"/>
          <w:szCs w:val="20"/>
        </w:rPr>
        <w:t>. Príkladom úspešnej realizácie je napr. projekt MEFANET. Je to projekt zameraný na vybudovanie a posilnenie spolupráce lekárskych fakúlt v ČR a SR pri rozvoji výučby lekárskych a zdravotníckych odborov modernými informačnými a komunikačnými technológiami. Zo SR je do projektu zapojená LF a JLF  UK v Bratislave, LF UPJŠ v Košiciach, Fakulta zdravotníckych odborov PU v Prešove . V rámci tohto projektu sa zdieľajú mnohé výučbové materiály, učebnice i odborné a vedecké monografie.</w:t>
      </w:r>
    </w:p>
    <w:p w:rsidR="00EC18F9" w:rsidRPr="00111776" w:rsidRDefault="00EC18F9" w:rsidP="00EC18F9">
      <w:pPr>
        <w:spacing w:before="120" w:after="0" w:line="360" w:lineRule="auto"/>
        <w:jc w:val="both"/>
        <w:rPr>
          <w:sz w:val="20"/>
          <w:szCs w:val="20"/>
        </w:rPr>
      </w:pPr>
      <w:r w:rsidRPr="00111776">
        <w:rPr>
          <w:sz w:val="20"/>
          <w:szCs w:val="20"/>
        </w:rPr>
        <w:t>Nevyhnutným predpokladom na obnovu a aktualizáciu fondu knižnice je dostatok finančných prostriedkov.</w:t>
      </w:r>
      <w:r w:rsidR="00483112">
        <w:rPr>
          <w:sz w:val="20"/>
          <w:szCs w:val="20"/>
        </w:rPr>
        <w:t xml:space="preserve"> </w:t>
      </w:r>
      <w:r w:rsidRPr="00111776">
        <w:rPr>
          <w:sz w:val="20"/>
          <w:szCs w:val="20"/>
        </w:rPr>
        <w:t xml:space="preserve">V podmienkach našich AK predstavuje objem ročného úbytku 1,25% a ročný prírastok tvorí 2,93 % z celkového objemu KF. </w:t>
      </w:r>
    </w:p>
    <w:p w:rsidR="00151241" w:rsidRPr="00111776" w:rsidRDefault="00151241" w:rsidP="00EC18F9">
      <w:pPr>
        <w:pStyle w:val="Popis"/>
        <w:keepNext/>
        <w:jc w:val="center"/>
        <w:rPr>
          <w:rFonts w:asciiTheme="minorHAnsi" w:hAnsiTheme="minorHAnsi"/>
        </w:rPr>
      </w:pPr>
      <w:r w:rsidRPr="00111776">
        <w:rPr>
          <w:rFonts w:asciiTheme="minorHAnsi" w:hAnsiTheme="minorHAnsi"/>
        </w:rPr>
        <w:t xml:space="preserve">Tabuľka </w:t>
      </w:r>
      <w:r w:rsidR="00D906DF" w:rsidRPr="00111776">
        <w:rPr>
          <w:rFonts w:asciiTheme="minorHAnsi" w:hAnsiTheme="minorHAnsi"/>
        </w:rPr>
        <w:fldChar w:fldCharType="begin"/>
      </w:r>
      <w:r w:rsidR="000B63D7" w:rsidRPr="00111776">
        <w:rPr>
          <w:rFonts w:asciiTheme="minorHAnsi" w:hAnsiTheme="minorHAnsi"/>
        </w:rPr>
        <w:instrText xml:space="preserve"> SEQ Tabuľka \* ARABIC </w:instrText>
      </w:r>
      <w:r w:rsidR="00D906DF" w:rsidRPr="00111776">
        <w:rPr>
          <w:rFonts w:asciiTheme="minorHAnsi" w:hAnsiTheme="minorHAnsi"/>
        </w:rPr>
        <w:fldChar w:fldCharType="separate"/>
      </w:r>
      <w:r w:rsidR="00243109" w:rsidRPr="00111776">
        <w:rPr>
          <w:rFonts w:asciiTheme="minorHAnsi" w:hAnsiTheme="minorHAnsi"/>
          <w:noProof/>
        </w:rPr>
        <w:t>2</w:t>
      </w:r>
      <w:r w:rsidR="00D906DF" w:rsidRPr="00111776">
        <w:rPr>
          <w:rFonts w:asciiTheme="minorHAnsi" w:hAnsiTheme="minorHAnsi"/>
        </w:rPr>
        <w:fldChar w:fldCharType="end"/>
      </w:r>
      <w:r w:rsidRPr="00111776">
        <w:rPr>
          <w:rFonts w:asciiTheme="minorHAnsi" w:hAnsiTheme="minorHAnsi"/>
        </w:rPr>
        <w:t>: Stav knižničného fondu v AK v r.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1448"/>
        <w:gridCol w:w="1447"/>
        <w:gridCol w:w="1625"/>
        <w:gridCol w:w="1552"/>
      </w:tblGrid>
      <w:tr w:rsidR="00151241" w:rsidRPr="00111776" w:rsidTr="00C07033">
        <w:trPr>
          <w:jc w:val="center"/>
        </w:trPr>
        <w:tc>
          <w:tcPr>
            <w:tcW w:w="2648" w:type="dxa"/>
          </w:tcPr>
          <w:p w:rsidR="00151241" w:rsidRPr="00111776" w:rsidRDefault="00151241" w:rsidP="00C070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51241" w:rsidRPr="00111776" w:rsidRDefault="00151241" w:rsidP="00C07033">
            <w:pPr>
              <w:rPr>
                <w:rFonts w:cs="Times New Roman"/>
                <w:b/>
                <w:sz w:val="20"/>
                <w:szCs w:val="20"/>
              </w:rPr>
            </w:pPr>
            <w:r w:rsidRPr="00111776">
              <w:rPr>
                <w:rFonts w:cs="Times New Roman"/>
                <w:b/>
                <w:sz w:val="20"/>
                <w:szCs w:val="20"/>
              </w:rPr>
              <w:t>Verejné VŠ</w:t>
            </w:r>
          </w:p>
        </w:tc>
        <w:tc>
          <w:tcPr>
            <w:tcW w:w="1447" w:type="dxa"/>
          </w:tcPr>
          <w:p w:rsidR="00151241" w:rsidRPr="00111776" w:rsidRDefault="00151241" w:rsidP="00C07033">
            <w:pPr>
              <w:rPr>
                <w:rFonts w:cs="Times New Roman"/>
                <w:b/>
                <w:sz w:val="20"/>
                <w:szCs w:val="20"/>
              </w:rPr>
            </w:pPr>
            <w:r w:rsidRPr="00111776">
              <w:rPr>
                <w:rFonts w:cs="Times New Roman"/>
                <w:b/>
                <w:sz w:val="20"/>
                <w:szCs w:val="20"/>
              </w:rPr>
              <w:t>Štátne VŠ</w:t>
            </w:r>
          </w:p>
        </w:tc>
        <w:tc>
          <w:tcPr>
            <w:tcW w:w="1625" w:type="dxa"/>
          </w:tcPr>
          <w:p w:rsidR="00151241" w:rsidRPr="00111776" w:rsidRDefault="00151241" w:rsidP="00C07033">
            <w:pPr>
              <w:rPr>
                <w:rFonts w:cs="Times New Roman"/>
                <w:b/>
                <w:sz w:val="20"/>
                <w:szCs w:val="20"/>
              </w:rPr>
            </w:pPr>
            <w:r w:rsidRPr="00111776">
              <w:rPr>
                <w:rFonts w:cs="Times New Roman"/>
                <w:b/>
                <w:sz w:val="20"/>
                <w:szCs w:val="20"/>
              </w:rPr>
              <w:t>Súkromné VŠ</w:t>
            </w:r>
          </w:p>
        </w:tc>
        <w:tc>
          <w:tcPr>
            <w:tcW w:w="1552" w:type="dxa"/>
          </w:tcPr>
          <w:p w:rsidR="00151241" w:rsidRPr="00111776" w:rsidRDefault="00151241" w:rsidP="00C07033">
            <w:pPr>
              <w:rPr>
                <w:rFonts w:cs="Times New Roman"/>
                <w:b/>
                <w:sz w:val="20"/>
                <w:szCs w:val="20"/>
              </w:rPr>
            </w:pPr>
            <w:r w:rsidRPr="00111776">
              <w:rPr>
                <w:rFonts w:cs="Times New Roman"/>
                <w:b/>
                <w:sz w:val="20"/>
                <w:szCs w:val="20"/>
              </w:rPr>
              <w:t>všetky VŠ</w:t>
            </w:r>
          </w:p>
        </w:tc>
      </w:tr>
      <w:tr w:rsidR="00151241" w:rsidRPr="00111776" w:rsidTr="00C07033">
        <w:trPr>
          <w:jc w:val="center"/>
        </w:trPr>
        <w:tc>
          <w:tcPr>
            <w:tcW w:w="2648" w:type="dxa"/>
          </w:tcPr>
          <w:p w:rsidR="00151241" w:rsidRPr="00111776" w:rsidRDefault="00151241" w:rsidP="00C07033">
            <w:pPr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KF spolu</w:t>
            </w:r>
          </w:p>
        </w:tc>
        <w:tc>
          <w:tcPr>
            <w:tcW w:w="1448" w:type="dxa"/>
            <w:vAlign w:val="center"/>
          </w:tcPr>
          <w:p w:rsidR="00151241" w:rsidRPr="00111776" w:rsidRDefault="0015124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5 633 909,00</w:t>
            </w:r>
          </w:p>
        </w:tc>
        <w:tc>
          <w:tcPr>
            <w:tcW w:w="1447" w:type="dxa"/>
            <w:vAlign w:val="center"/>
          </w:tcPr>
          <w:p w:rsidR="00151241" w:rsidRPr="00111776" w:rsidRDefault="00151241" w:rsidP="0015124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437 448,00</w:t>
            </w:r>
          </w:p>
        </w:tc>
        <w:tc>
          <w:tcPr>
            <w:tcW w:w="1625" w:type="dxa"/>
            <w:vAlign w:val="center"/>
          </w:tcPr>
          <w:p w:rsidR="00151241" w:rsidRPr="00111776" w:rsidRDefault="00151241" w:rsidP="002222BD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16</w:t>
            </w:r>
            <w:r w:rsidR="002222BD" w:rsidRPr="00111776">
              <w:rPr>
                <w:rFonts w:cs="Times New Roman"/>
                <w:sz w:val="20"/>
                <w:szCs w:val="20"/>
              </w:rPr>
              <w:t>7</w:t>
            </w:r>
            <w:r w:rsidRPr="00111776">
              <w:rPr>
                <w:rFonts w:cs="Times New Roman"/>
                <w:sz w:val="20"/>
                <w:szCs w:val="20"/>
              </w:rPr>
              <w:t xml:space="preserve"> </w:t>
            </w:r>
            <w:r w:rsidR="002222BD" w:rsidRPr="00111776">
              <w:rPr>
                <w:rFonts w:cs="Times New Roman"/>
                <w:sz w:val="20"/>
                <w:szCs w:val="20"/>
              </w:rPr>
              <w:t>361</w:t>
            </w:r>
            <w:r w:rsidRPr="0011177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2" w:type="dxa"/>
            <w:vAlign w:val="center"/>
          </w:tcPr>
          <w:p w:rsidR="00151241" w:rsidRPr="00111776" w:rsidRDefault="00151241" w:rsidP="002222BD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6</w:t>
            </w:r>
            <w:r w:rsidR="002222BD" w:rsidRPr="00111776">
              <w:rPr>
                <w:rFonts w:cs="Times New Roman"/>
                <w:sz w:val="20"/>
                <w:szCs w:val="20"/>
              </w:rPr>
              <w:t> 238 718</w:t>
            </w:r>
            <w:r w:rsidRPr="00111776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51241" w:rsidRPr="00111776" w:rsidTr="00C07033">
        <w:trPr>
          <w:jc w:val="center"/>
        </w:trPr>
        <w:tc>
          <w:tcPr>
            <w:tcW w:w="2648" w:type="dxa"/>
          </w:tcPr>
          <w:p w:rsidR="00151241" w:rsidRPr="00111776" w:rsidRDefault="00151241" w:rsidP="00C07033">
            <w:pPr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na 1 AK</w:t>
            </w:r>
          </w:p>
        </w:tc>
        <w:tc>
          <w:tcPr>
            <w:tcW w:w="1448" w:type="dxa"/>
            <w:vAlign w:val="center"/>
          </w:tcPr>
          <w:p w:rsidR="00151241" w:rsidRPr="00111776" w:rsidRDefault="0015124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216 688,80</w:t>
            </w:r>
          </w:p>
        </w:tc>
        <w:tc>
          <w:tcPr>
            <w:tcW w:w="1447" w:type="dxa"/>
            <w:vAlign w:val="center"/>
          </w:tcPr>
          <w:p w:rsidR="00151241" w:rsidRPr="00111776" w:rsidRDefault="0015124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145 816,00</w:t>
            </w:r>
          </w:p>
        </w:tc>
        <w:tc>
          <w:tcPr>
            <w:tcW w:w="1625" w:type="dxa"/>
            <w:vAlign w:val="center"/>
          </w:tcPr>
          <w:p w:rsidR="00151241" w:rsidRPr="00111776" w:rsidRDefault="00151241" w:rsidP="002222BD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</w:t>
            </w:r>
            <w:r w:rsidR="002222BD" w:rsidRPr="00111776">
              <w:rPr>
                <w:rFonts w:cs="Times New Roman"/>
                <w:sz w:val="20"/>
                <w:szCs w:val="20"/>
              </w:rPr>
              <w:t>5 214,63</w:t>
            </w:r>
          </w:p>
        </w:tc>
        <w:tc>
          <w:tcPr>
            <w:tcW w:w="1552" w:type="dxa"/>
            <w:vAlign w:val="center"/>
          </w:tcPr>
          <w:p w:rsidR="00151241" w:rsidRPr="00111776" w:rsidRDefault="00151241" w:rsidP="002222BD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15</w:t>
            </w:r>
            <w:r w:rsidR="002222BD" w:rsidRPr="00111776">
              <w:rPr>
                <w:rFonts w:cs="Times New Roman"/>
                <w:sz w:val="20"/>
                <w:szCs w:val="20"/>
              </w:rPr>
              <w:t>5 967,95</w:t>
            </w:r>
          </w:p>
        </w:tc>
      </w:tr>
      <w:tr w:rsidR="00151241" w:rsidRPr="00111776" w:rsidTr="00C07033">
        <w:trPr>
          <w:jc w:val="center"/>
        </w:trPr>
        <w:tc>
          <w:tcPr>
            <w:tcW w:w="2648" w:type="dxa"/>
          </w:tcPr>
          <w:p w:rsidR="00151241" w:rsidRPr="00111776" w:rsidRDefault="00151241" w:rsidP="00C07033">
            <w:pPr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Počet odb. titulov periodík</w:t>
            </w:r>
          </w:p>
        </w:tc>
        <w:tc>
          <w:tcPr>
            <w:tcW w:w="1448" w:type="dxa"/>
            <w:vAlign w:val="center"/>
          </w:tcPr>
          <w:p w:rsidR="00151241" w:rsidRPr="00111776" w:rsidRDefault="0015124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4 959,00</w:t>
            </w:r>
          </w:p>
        </w:tc>
        <w:tc>
          <w:tcPr>
            <w:tcW w:w="1447" w:type="dxa"/>
            <w:vAlign w:val="center"/>
          </w:tcPr>
          <w:p w:rsidR="00151241" w:rsidRPr="00111776" w:rsidRDefault="00151241" w:rsidP="0015124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172,00</w:t>
            </w:r>
          </w:p>
        </w:tc>
        <w:tc>
          <w:tcPr>
            <w:tcW w:w="1625" w:type="dxa"/>
            <w:vAlign w:val="center"/>
          </w:tcPr>
          <w:p w:rsidR="00151241" w:rsidRPr="00111776" w:rsidRDefault="00151241" w:rsidP="002222BD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33</w:t>
            </w:r>
            <w:r w:rsidR="002222BD" w:rsidRPr="00111776">
              <w:rPr>
                <w:rFonts w:cs="Times New Roman"/>
                <w:sz w:val="20"/>
                <w:szCs w:val="20"/>
              </w:rPr>
              <w:t>3</w:t>
            </w:r>
            <w:r w:rsidRPr="0011177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2" w:type="dxa"/>
            <w:vAlign w:val="center"/>
          </w:tcPr>
          <w:p w:rsidR="00151241" w:rsidRPr="00111776" w:rsidRDefault="00151241" w:rsidP="002222BD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 xml:space="preserve">5 </w:t>
            </w:r>
            <w:r w:rsidR="002222BD" w:rsidRPr="00111776">
              <w:rPr>
                <w:rFonts w:cs="Times New Roman"/>
                <w:sz w:val="20"/>
                <w:szCs w:val="20"/>
              </w:rPr>
              <w:t>464</w:t>
            </w:r>
            <w:r w:rsidRPr="00111776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51241" w:rsidRPr="00111776" w:rsidTr="00C07033">
        <w:trPr>
          <w:jc w:val="center"/>
        </w:trPr>
        <w:tc>
          <w:tcPr>
            <w:tcW w:w="2648" w:type="dxa"/>
          </w:tcPr>
          <w:p w:rsidR="00151241" w:rsidRPr="00111776" w:rsidRDefault="00151241" w:rsidP="00C07033">
            <w:pPr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na 1 knižnicu</w:t>
            </w:r>
          </w:p>
        </w:tc>
        <w:tc>
          <w:tcPr>
            <w:tcW w:w="1448" w:type="dxa"/>
            <w:vAlign w:val="center"/>
          </w:tcPr>
          <w:p w:rsidR="00151241" w:rsidRPr="00111776" w:rsidRDefault="0015124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190,73</w:t>
            </w:r>
          </w:p>
        </w:tc>
        <w:tc>
          <w:tcPr>
            <w:tcW w:w="1447" w:type="dxa"/>
            <w:vAlign w:val="center"/>
          </w:tcPr>
          <w:p w:rsidR="00151241" w:rsidRPr="00111776" w:rsidRDefault="0015124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57,33</w:t>
            </w:r>
          </w:p>
        </w:tc>
        <w:tc>
          <w:tcPr>
            <w:tcW w:w="1625" w:type="dxa"/>
            <w:vAlign w:val="center"/>
          </w:tcPr>
          <w:p w:rsidR="00151241" w:rsidRPr="00111776" w:rsidRDefault="00151241" w:rsidP="00CF12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30,</w:t>
            </w:r>
            <w:r w:rsidR="00CF12A1" w:rsidRPr="00111776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552" w:type="dxa"/>
            <w:vAlign w:val="center"/>
          </w:tcPr>
          <w:p w:rsidR="00151241" w:rsidRPr="00111776" w:rsidRDefault="00151241" w:rsidP="00CF12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</w:t>
            </w:r>
            <w:r w:rsidR="00CF12A1" w:rsidRPr="00111776">
              <w:rPr>
                <w:rFonts w:cs="Times New Roman"/>
                <w:sz w:val="20"/>
                <w:szCs w:val="20"/>
              </w:rPr>
              <w:t>36,60</w:t>
            </w:r>
          </w:p>
        </w:tc>
      </w:tr>
      <w:tr w:rsidR="00151241" w:rsidRPr="00111776" w:rsidTr="00C07033">
        <w:trPr>
          <w:jc w:val="center"/>
        </w:trPr>
        <w:tc>
          <w:tcPr>
            <w:tcW w:w="2648" w:type="dxa"/>
          </w:tcPr>
          <w:p w:rsidR="00151241" w:rsidRPr="00111776" w:rsidRDefault="00151241" w:rsidP="00C07033">
            <w:pPr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 xml:space="preserve">Počet </w:t>
            </w:r>
            <w:proofErr w:type="spellStart"/>
            <w:r w:rsidRPr="00111776">
              <w:rPr>
                <w:rFonts w:cs="Times New Roman"/>
                <w:sz w:val="20"/>
                <w:szCs w:val="20"/>
              </w:rPr>
              <w:t>zahr</w:t>
            </w:r>
            <w:proofErr w:type="spellEnd"/>
            <w:r w:rsidRPr="00111776">
              <w:rPr>
                <w:rFonts w:cs="Times New Roman"/>
                <w:sz w:val="20"/>
                <w:szCs w:val="20"/>
              </w:rPr>
              <w:t>. titulov periodík</w:t>
            </w:r>
          </w:p>
        </w:tc>
        <w:tc>
          <w:tcPr>
            <w:tcW w:w="1448" w:type="dxa"/>
            <w:vAlign w:val="center"/>
          </w:tcPr>
          <w:p w:rsidR="00151241" w:rsidRPr="00111776" w:rsidRDefault="0015124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2 631,00</w:t>
            </w:r>
          </w:p>
        </w:tc>
        <w:tc>
          <w:tcPr>
            <w:tcW w:w="1447" w:type="dxa"/>
            <w:vAlign w:val="center"/>
          </w:tcPr>
          <w:p w:rsidR="00151241" w:rsidRPr="00111776" w:rsidRDefault="0015124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69,00</w:t>
            </w:r>
          </w:p>
        </w:tc>
        <w:tc>
          <w:tcPr>
            <w:tcW w:w="1625" w:type="dxa"/>
            <w:vAlign w:val="center"/>
          </w:tcPr>
          <w:p w:rsidR="00151241" w:rsidRPr="00111776" w:rsidRDefault="00151241" w:rsidP="00CF12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</w:t>
            </w:r>
            <w:r w:rsidR="00CF12A1" w:rsidRPr="00111776">
              <w:rPr>
                <w:rFonts w:cs="Times New Roman"/>
                <w:sz w:val="20"/>
                <w:szCs w:val="20"/>
              </w:rPr>
              <w:t>4</w:t>
            </w:r>
            <w:r w:rsidRPr="00111776">
              <w:rPr>
                <w:rFonts w:cs="Times New Roman"/>
                <w:sz w:val="20"/>
                <w:szCs w:val="20"/>
              </w:rPr>
              <w:t>9,00</w:t>
            </w:r>
          </w:p>
        </w:tc>
        <w:tc>
          <w:tcPr>
            <w:tcW w:w="1552" w:type="dxa"/>
            <w:vAlign w:val="center"/>
          </w:tcPr>
          <w:p w:rsidR="00151241" w:rsidRPr="00111776" w:rsidRDefault="00CF12A1" w:rsidP="00CF12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2 849</w:t>
            </w:r>
            <w:r w:rsidR="00151241" w:rsidRPr="00111776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4E25A6" w:rsidRPr="00111776" w:rsidTr="00C07033">
        <w:trPr>
          <w:jc w:val="center"/>
        </w:trPr>
        <w:tc>
          <w:tcPr>
            <w:tcW w:w="2648" w:type="dxa"/>
          </w:tcPr>
          <w:p w:rsidR="004E25A6" w:rsidRPr="00111776" w:rsidRDefault="004E25A6" w:rsidP="00C07033">
            <w:pPr>
              <w:rPr>
                <w:rFonts w:cs="Times New Roman"/>
                <w:b/>
                <w:sz w:val="20"/>
                <w:szCs w:val="20"/>
              </w:rPr>
            </w:pPr>
            <w:r w:rsidRPr="00111776">
              <w:rPr>
                <w:rFonts w:cs="Times New Roman"/>
                <w:b/>
                <w:sz w:val="20"/>
                <w:szCs w:val="20"/>
              </w:rPr>
              <w:t>Počet on-line sprístupňovaných periodík</w:t>
            </w:r>
          </w:p>
        </w:tc>
        <w:tc>
          <w:tcPr>
            <w:tcW w:w="1448" w:type="dxa"/>
            <w:vAlign w:val="center"/>
          </w:tcPr>
          <w:p w:rsidR="004E25A6" w:rsidRPr="00111776" w:rsidRDefault="004E25A6" w:rsidP="0015124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11776">
              <w:rPr>
                <w:rFonts w:cs="Times New Roman"/>
                <w:b/>
                <w:sz w:val="20"/>
                <w:szCs w:val="20"/>
              </w:rPr>
              <w:t>57 876</w:t>
            </w:r>
          </w:p>
        </w:tc>
        <w:tc>
          <w:tcPr>
            <w:tcW w:w="1447" w:type="dxa"/>
            <w:vAlign w:val="center"/>
          </w:tcPr>
          <w:p w:rsidR="004E25A6" w:rsidRPr="00111776" w:rsidRDefault="004E25A6" w:rsidP="0046152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11776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vAlign w:val="center"/>
          </w:tcPr>
          <w:p w:rsidR="004E25A6" w:rsidRPr="00111776" w:rsidRDefault="004E25A6" w:rsidP="00C0703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11776">
              <w:rPr>
                <w:rFonts w:cs="Times New Roman"/>
                <w:b/>
                <w:sz w:val="20"/>
                <w:szCs w:val="20"/>
              </w:rPr>
              <w:t>17 813</w:t>
            </w:r>
          </w:p>
        </w:tc>
        <w:tc>
          <w:tcPr>
            <w:tcW w:w="1552" w:type="dxa"/>
            <w:vAlign w:val="center"/>
          </w:tcPr>
          <w:p w:rsidR="004E25A6" w:rsidRPr="00111776" w:rsidRDefault="004E25A6" w:rsidP="00C0703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11776">
              <w:rPr>
                <w:rFonts w:cs="Times New Roman"/>
                <w:b/>
                <w:sz w:val="20"/>
                <w:szCs w:val="20"/>
              </w:rPr>
              <w:t>75 689</w:t>
            </w:r>
          </w:p>
        </w:tc>
      </w:tr>
      <w:tr w:rsidR="00151241" w:rsidRPr="00111776" w:rsidTr="00C07033">
        <w:trPr>
          <w:jc w:val="center"/>
        </w:trPr>
        <w:tc>
          <w:tcPr>
            <w:tcW w:w="2648" w:type="dxa"/>
          </w:tcPr>
          <w:p w:rsidR="00151241" w:rsidRPr="00111776" w:rsidRDefault="00151241" w:rsidP="00C07033">
            <w:pPr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Ročný prírastok KF</w:t>
            </w:r>
          </w:p>
        </w:tc>
        <w:tc>
          <w:tcPr>
            <w:tcW w:w="1448" w:type="dxa"/>
            <w:vAlign w:val="center"/>
          </w:tcPr>
          <w:p w:rsidR="00151241" w:rsidRPr="00111776" w:rsidRDefault="00151241" w:rsidP="0015124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171 495,00</w:t>
            </w:r>
          </w:p>
        </w:tc>
        <w:tc>
          <w:tcPr>
            <w:tcW w:w="1447" w:type="dxa"/>
            <w:vAlign w:val="center"/>
          </w:tcPr>
          <w:p w:rsidR="00151241" w:rsidRPr="00111776" w:rsidRDefault="00151241" w:rsidP="00461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10 839,00</w:t>
            </w:r>
          </w:p>
        </w:tc>
        <w:tc>
          <w:tcPr>
            <w:tcW w:w="1625" w:type="dxa"/>
            <w:vAlign w:val="center"/>
          </w:tcPr>
          <w:p w:rsidR="00151241" w:rsidRPr="00111776" w:rsidRDefault="00CF12A1" w:rsidP="00CF12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20 04</w:t>
            </w:r>
            <w:r w:rsidR="00151241" w:rsidRPr="0011177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552" w:type="dxa"/>
            <w:vAlign w:val="center"/>
          </w:tcPr>
          <w:p w:rsidR="00151241" w:rsidRPr="00111776" w:rsidRDefault="00CF12A1" w:rsidP="00CF12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202 376</w:t>
            </w:r>
            <w:r w:rsidR="00151241" w:rsidRPr="00111776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51241" w:rsidRPr="00111776" w:rsidTr="00C07033">
        <w:trPr>
          <w:jc w:val="center"/>
        </w:trPr>
        <w:tc>
          <w:tcPr>
            <w:tcW w:w="2648" w:type="dxa"/>
          </w:tcPr>
          <w:p w:rsidR="00151241" w:rsidRPr="00111776" w:rsidRDefault="00151241" w:rsidP="00C07033">
            <w:pPr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na 1 knižnicu</w:t>
            </w:r>
          </w:p>
        </w:tc>
        <w:tc>
          <w:tcPr>
            <w:tcW w:w="1448" w:type="dxa"/>
            <w:vAlign w:val="center"/>
          </w:tcPr>
          <w:p w:rsidR="00151241" w:rsidRPr="00111776" w:rsidRDefault="0015124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6 595,96</w:t>
            </w:r>
          </w:p>
        </w:tc>
        <w:tc>
          <w:tcPr>
            <w:tcW w:w="1447" w:type="dxa"/>
            <w:vAlign w:val="center"/>
          </w:tcPr>
          <w:p w:rsidR="00151241" w:rsidRPr="00111776" w:rsidRDefault="00CF12A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3 613,00</w:t>
            </w:r>
          </w:p>
        </w:tc>
        <w:tc>
          <w:tcPr>
            <w:tcW w:w="1625" w:type="dxa"/>
            <w:vAlign w:val="center"/>
          </w:tcPr>
          <w:p w:rsidR="00151241" w:rsidRPr="00111776" w:rsidRDefault="00CF12A1" w:rsidP="00CF12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 xml:space="preserve"> 1 822,00</w:t>
            </w:r>
          </w:p>
        </w:tc>
        <w:tc>
          <w:tcPr>
            <w:tcW w:w="1552" w:type="dxa"/>
            <w:vAlign w:val="center"/>
          </w:tcPr>
          <w:p w:rsidR="00151241" w:rsidRPr="00111776" w:rsidRDefault="00CF12A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5 059,40</w:t>
            </w:r>
          </w:p>
        </w:tc>
      </w:tr>
      <w:tr w:rsidR="00151241" w:rsidRPr="00111776" w:rsidTr="00C07033">
        <w:trPr>
          <w:jc w:val="center"/>
        </w:trPr>
        <w:tc>
          <w:tcPr>
            <w:tcW w:w="2648" w:type="dxa"/>
          </w:tcPr>
          <w:p w:rsidR="00151241" w:rsidRPr="00111776" w:rsidRDefault="00151241" w:rsidP="00C07033">
            <w:pPr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na 1 reg. používateľa</w:t>
            </w:r>
          </w:p>
        </w:tc>
        <w:tc>
          <w:tcPr>
            <w:tcW w:w="1448" w:type="dxa"/>
            <w:vAlign w:val="center"/>
          </w:tcPr>
          <w:p w:rsidR="00151241" w:rsidRPr="00111776" w:rsidRDefault="0015124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1,06</w:t>
            </w:r>
          </w:p>
        </w:tc>
        <w:tc>
          <w:tcPr>
            <w:tcW w:w="1447" w:type="dxa"/>
            <w:vAlign w:val="center"/>
          </w:tcPr>
          <w:p w:rsidR="00151241" w:rsidRPr="00111776" w:rsidRDefault="0015124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0,96</w:t>
            </w:r>
          </w:p>
        </w:tc>
        <w:tc>
          <w:tcPr>
            <w:tcW w:w="1625" w:type="dxa"/>
            <w:vAlign w:val="center"/>
          </w:tcPr>
          <w:p w:rsidR="00151241" w:rsidRPr="00111776" w:rsidRDefault="00151241" w:rsidP="00CF12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1,</w:t>
            </w:r>
            <w:r w:rsidR="00CF12A1" w:rsidRPr="00111776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1552" w:type="dxa"/>
            <w:vAlign w:val="center"/>
          </w:tcPr>
          <w:p w:rsidR="00151241" w:rsidRPr="00111776" w:rsidRDefault="00CF12A1" w:rsidP="00CF12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1,10</w:t>
            </w:r>
          </w:p>
        </w:tc>
      </w:tr>
      <w:tr w:rsidR="00151241" w:rsidRPr="00111776" w:rsidTr="00C07033">
        <w:trPr>
          <w:jc w:val="center"/>
        </w:trPr>
        <w:tc>
          <w:tcPr>
            <w:tcW w:w="2648" w:type="dxa"/>
          </w:tcPr>
          <w:p w:rsidR="00151241" w:rsidRPr="00111776" w:rsidRDefault="00151241" w:rsidP="00C07033">
            <w:pPr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Ročný úbytok KF</w:t>
            </w:r>
          </w:p>
        </w:tc>
        <w:tc>
          <w:tcPr>
            <w:tcW w:w="1448" w:type="dxa"/>
            <w:vAlign w:val="center"/>
          </w:tcPr>
          <w:p w:rsidR="00151241" w:rsidRPr="00111776" w:rsidRDefault="00151241" w:rsidP="0015124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52 887,00</w:t>
            </w:r>
          </w:p>
        </w:tc>
        <w:tc>
          <w:tcPr>
            <w:tcW w:w="1447" w:type="dxa"/>
            <w:vAlign w:val="center"/>
          </w:tcPr>
          <w:p w:rsidR="00151241" w:rsidRPr="00111776" w:rsidRDefault="00151241" w:rsidP="00C070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6 111,00</w:t>
            </w:r>
          </w:p>
        </w:tc>
        <w:tc>
          <w:tcPr>
            <w:tcW w:w="1625" w:type="dxa"/>
            <w:vAlign w:val="center"/>
          </w:tcPr>
          <w:p w:rsidR="00151241" w:rsidRPr="00111776" w:rsidRDefault="00CF12A1" w:rsidP="00CF12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15 349,00</w:t>
            </w:r>
          </w:p>
        </w:tc>
        <w:tc>
          <w:tcPr>
            <w:tcW w:w="1552" w:type="dxa"/>
            <w:vAlign w:val="center"/>
          </w:tcPr>
          <w:p w:rsidR="00151241" w:rsidRPr="00111776" w:rsidRDefault="00151241" w:rsidP="00CF12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111776">
              <w:rPr>
                <w:rFonts w:cs="Times New Roman"/>
                <w:sz w:val="20"/>
                <w:szCs w:val="20"/>
              </w:rPr>
              <w:t>7</w:t>
            </w:r>
            <w:r w:rsidR="00CF12A1" w:rsidRPr="00111776">
              <w:rPr>
                <w:rFonts w:cs="Times New Roman"/>
                <w:sz w:val="20"/>
                <w:szCs w:val="20"/>
              </w:rPr>
              <w:t>4</w:t>
            </w:r>
            <w:r w:rsidRPr="00111776">
              <w:rPr>
                <w:rFonts w:cs="Times New Roman"/>
                <w:sz w:val="20"/>
                <w:szCs w:val="20"/>
              </w:rPr>
              <w:t xml:space="preserve"> </w:t>
            </w:r>
            <w:r w:rsidR="00CF12A1" w:rsidRPr="00111776">
              <w:rPr>
                <w:rFonts w:cs="Times New Roman"/>
                <w:sz w:val="20"/>
                <w:szCs w:val="20"/>
              </w:rPr>
              <w:t>347</w:t>
            </w:r>
          </w:p>
        </w:tc>
      </w:tr>
    </w:tbl>
    <w:p w:rsidR="00073C8E" w:rsidRPr="00111776" w:rsidRDefault="00073C8E">
      <w:pPr>
        <w:rPr>
          <w:rFonts w:cs="Times New Roman"/>
          <w:sz w:val="20"/>
          <w:szCs w:val="20"/>
        </w:rPr>
      </w:pPr>
    </w:p>
    <w:p w:rsidR="002B1CD2" w:rsidRPr="00111776" w:rsidRDefault="002B1CD2" w:rsidP="004E25A6">
      <w:pPr>
        <w:spacing w:before="120" w:after="0" w:line="360" w:lineRule="auto"/>
        <w:jc w:val="both"/>
        <w:rPr>
          <w:sz w:val="20"/>
          <w:szCs w:val="20"/>
        </w:rPr>
      </w:pPr>
      <w:r w:rsidRPr="00111776">
        <w:rPr>
          <w:sz w:val="20"/>
          <w:szCs w:val="20"/>
        </w:rPr>
        <w:t xml:space="preserve">Zvýšenie prírastku sa premietlo i do prepočítaných podielov: ročný prírastok na jednu akademickú knižnicu je </w:t>
      </w:r>
      <w:r w:rsidR="001B16E0">
        <w:rPr>
          <w:sz w:val="20"/>
          <w:szCs w:val="20"/>
        </w:rPr>
        <w:t xml:space="preserve">  </w:t>
      </w:r>
      <w:r w:rsidRPr="00111776">
        <w:rPr>
          <w:rFonts w:cs="Times New Roman"/>
          <w:sz w:val="20"/>
          <w:szCs w:val="20"/>
        </w:rPr>
        <w:t>5 059</w:t>
      </w:r>
      <w:r w:rsidRPr="00111776">
        <w:rPr>
          <w:sz w:val="20"/>
          <w:szCs w:val="20"/>
        </w:rPr>
        <w:t xml:space="preserve">  k. j., oproti roku 2012 je to </w:t>
      </w:r>
      <w:r w:rsidRPr="00111776">
        <w:rPr>
          <w:b/>
          <w:sz w:val="20"/>
          <w:szCs w:val="20"/>
        </w:rPr>
        <w:t>nárast  o 582 dokumentov</w:t>
      </w:r>
      <w:r w:rsidRPr="00111776">
        <w:rPr>
          <w:sz w:val="20"/>
          <w:szCs w:val="20"/>
        </w:rPr>
        <w:t xml:space="preserve">. Na jedného registrovaného používateľa pripadá </w:t>
      </w:r>
      <w:r w:rsidRPr="0080100A">
        <w:rPr>
          <w:b/>
          <w:sz w:val="20"/>
          <w:szCs w:val="20"/>
        </w:rPr>
        <w:t>1,10 dokumentu</w:t>
      </w:r>
      <w:r w:rsidRPr="00111776">
        <w:rPr>
          <w:sz w:val="20"/>
          <w:szCs w:val="20"/>
        </w:rPr>
        <w:t xml:space="preserve">. Na nákup KF vynaloží  1 AK ročne </w:t>
      </w:r>
      <w:r w:rsidRPr="00111776">
        <w:rPr>
          <w:rFonts w:eastAsia="Times New Roman" w:cs="Times New Roman"/>
          <w:color w:val="000000"/>
          <w:sz w:val="20"/>
          <w:szCs w:val="20"/>
        </w:rPr>
        <w:t xml:space="preserve">31 944,50 </w:t>
      </w:r>
      <w:r w:rsidRPr="00111776">
        <w:rPr>
          <w:sz w:val="20"/>
          <w:szCs w:val="20"/>
        </w:rPr>
        <w:t xml:space="preserve">EUR, čo je pokles o 1 713,50 EUR oproti r. 2012, prepočítaný podiel finančných prostriedkov na 1 dokument predstavuje 6,31 EUR, čo je pokles oproti roku 2012 o 1,21 EUR. </w:t>
      </w:r>
      <w:r w:rsidR="00EC18F9" w:rsidRPr="00111776">
        <w:rPr>
          <w:sz w:val="20"/>
          <w:szCs w:val="20"/>
        </w:rPr>
        <w:t>Oproti r. 2012 sa však zvýšil príspevok na 1 re</w:t>
      </w:r>
      <w:r w:rsidRPr="00111776">
        <w:rPr>
          <w:sz w:val="20"/>
          <w:szCs w:val="20"/>
        </w:rPr>
        <w:t xml:space="preserve">gistrovaného používateľa </w:t>
      </w:r>
      <w:r w:rsidR="00EC18F9" w:rsidRPr="00111776">
        <w:rPr>
          <w:sz w:val="20"/>
          <w:szCs w:val="20"/>
        </w:rPr>
        <w:t>na 6</w:t>
      </w:r>
      <w:r w:rsidRPr="00111776">
        <w:rPr>
          <w:sz w:val="20"/>
          <w:szCs w:val="20"/>
        </w:rPr>
        <w:t>,3</w:t>
      </w:r>
      <w:r w:rsidR="00EC18F9" w:rsidRPr="00111776">
        <w:rPr>
          <w:sz w:val="20"/>
          <w:szCs w:val="20"/>
        </w:rPr>
        <w:t xml:space="preserve">1 EUR. </w:t>
      </w:r>
    </w:p>
    <w:p w:rsidR="00EC18F9" w:rsidRPr="00111776" w:rsidRDefault="00EC18F9" w:rsidP="004E25A6">
      <w:pPr>
        <w:spacing w:before="120" w:after="0" w:line="360" w:lineRule="auto"/>
        <w:jc w:val="both"/>
        <w:rPr>
          <w:sz w:val="20"/>
          <w:szCs w:val="20"/>
        </w:rPr>
      </w:pPr>
    </w:p>
    <w:p w:rsidR="002B1CD2" w:rsidRPr="00111776" w:rsidRDefault="002B1CD2" w:rsidP="002B1CD2">
      <w:pPr>
        <w:pStyle w:val="Popis"/>
        <w:keepNext/>
        <w:rPr>
          <w:rFonts w:asciiTheme="minorHAnsi" w:hAnsiTheme="minorHAnsi"/>
        </w:rPr>
      </w:pPr>
      <w:r w:rsidRPr="00111776">
        <w:rPr>
          <w:rFonts w:asciiTheme="minorHAnsi" w:hAnsiTheme="minorHAnsi"/>
        </w:rPr>
        <w:lastRenderedPageBreak/>
        <w:t xml:space="preserve">Tabuľka </w:t>
      </w:r>
      <w:r w:rsidR="00D906DF" w:rsidRPr="00111776">
        <w:rPr>
          <w:rFonts w:asciiTheme="minorHAnsi" w:hAnsiTheme="minorHAnsi"/>
        </w:rPr>
        <w:fldChar w:fldCharType="begin"/>
      </w:r>
      <w:r w:rsidRPr="00111776">
        <w:rPr>
          <w:rFonts w:asciiTheme="minorHAnsi" w:hAnsiTheme="minorHAnsi"/>
        </w:rPr>
        <w:instrText xml:space="preserve"> SEQ Tabuľka \* ARABIC </w:instrText>
      </w:r>
      <w:r w:rsidR="00D906DF" w:rsidRPr="00111776">
        <w:rPr>
          <w:rFonts w:asciiTheme="minorHAnsi" w:hAnsiTheme="minorHAnsi"/>
        </w:rPr>
        <w:fldChar w:fldCharType="separate"/>
      </w:r>
      <w:r w:rsidRPr="00111776">
        <w:rPr>
          <w:rFonts w:asciiTheme="minorHAnsi" w:hAnsiTheme="minorHAnsi"/>
          <w:noProof/>
        </w:rPr>
        <w:t>3</w:t>
      </w:r>
      <w:r w:rsidR="00D906DF" w:rsidRPr="00111776">
        <w:rPr>
          <w:rFonts w:asciiTheme="minorHAnsi" w:hAnsiTheme="minorHAnsi"/>
        </w:rPr>
        <w:fldChar w:fldCharType="end"/>
      </w:r>
      <w:r w:rsidRPr="00111776">
        <w:rPr>
          <w:rFonts w:asciiTheme="minorHAnsi" w:hAnsiTheme="minorHAnsi"/>
        </w:rPr>
        <w:t>: Prehľad finančných prostriedkov vynaložených na nákup KF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1269"/>
        <w:gridCol w:w="1021"/>
        <w:gridCol w:w="1295"/>
        <w:gridCol w:w="1269"/>
      </w:tblGrid>
      <w:tr w:rsidR="002B1CD2" w:rsidRPr="00111776" w:rsidTr="00EC18F9">
        <w:trPr>
          <w:jc w:val="center"/>
        </w:trPr>
        <w:tc>
          <w:tcPr>
            <w:tcW w:w="0" w:type="auto"/>
          </w:tcPr>
          <w:p w:rsidR="002B1CD2" w:rsidRPr="00111776" w:rsidRDefault="002B1CD2" w:rsidP="00EC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Verejné VŠ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Štátne VŠ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Súkromné VŠ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Všetky VŠ</w:t>
            </w:r>
          </w:p>
        </w:tc>
      </w:tr>
      <w:tr w:rsidR="002B1CD2" w:rsidRPr="00111776" w:rsidTr="00EC18F9">
        <w:trPr>
          <w:jc w:val="center"/>
        </w:trPr>
        <w:tc>
          <w:tcPr>
            <w:tcW w:w="0" w:type="auto"/>
          </w:tcPr>
          <w:p w:rsidR="002B1CD2" w:rsidRPr="00111776" w:rsidRDefault="002B1CD2" w:rsidP="00EC18F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Náklady na nákup KF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1 166 648,00 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19 854,00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91 278,00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1 277 780,00</w:t>
            </w:r>
          </w:p>
        </w:tc>
      </w:tr>
      <w:tr w:rsidR="002B1CD2" w:rsidRPr="00111776" w:rsidTr="00EC18F9">
        <w:trPr>
          <w:jc w:val="center"/>
        </w:trPr>
        <w:tc>
          <w:tcPr>
            <w:tcW w:w="0" w:type="auto"/>
          </w:tcPr>
          <w:p w:rsidR="002B1CD2" w:rsidRPr="00111776" w:rsidRDefault="002B1CD2" w:rsidP="00EC18F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knižnicu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44 871,08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6 618,00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8 298,00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31 944,50</w:t>
            </w:r>
          </w:p>
        </w:tc>
      </w:tr>
      <w:tr w:rsidR="002B1CD2" w:rsidRPr="00111776" w:rsidTr="00EC18F9">
        <w:trPr>
          <w:jc w:val="center"/>
        </w:trPr>
        <w:tc>
          <w:tcPr>
            <w:tcW w:w="0" w:type="auto"/>
          </w:tcPr>
          <w:p w:rsidR="002B1CD2" w:rsidRPr="00111776" w:rsidRDefault="002B1CD2" w:rsidP="00EC18F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dokument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6,80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1,83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4,55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6,31</w:t>
            </w:r>
          </w:p>
        </w:tc>
      </w:tr>
      <w:tr w:rsidR="002B1CD2" w:rsidRPr="00111776" w:rsidTr="00EC18F9">
        <w:trPr>
          <w:jc w:val="center"/>
        </w:trPr>
        <w:tc>
          <w:tcPr>
            <w:tcW w:w="0" w:type="auto"/>
          </w:tcPr>
          <w:p w:rsidR="002B1CD2" w:rsidRPr="00111776" w:rsidRDefault="002B1CD2" w:rsidP="00EC18F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reg. používateľa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7,206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1,765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9,093</w:t>
            </w:r>
          </w:p>
        </w:tc>
        <w:tc>
          <w:tcPr>
            <w:tcW w:w="0" w:type="auto"/>
            <w:vAlign w:val="center"/>
          </w:tcPr>
          <w:p w:rsidR="002B1CD2" w:rsidRPr="00111776" w:rsidRDefault="002B1CD2" w:rsidP="00EC18F9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6,973</w:t>
            </w:r>
          </w:p>
        </w:tc>
      </w:tr>
    </w:tbl>
    <w:p w:rsidR="002B1CD2" w:rsidRPr="00111776" w:rsidRDefault="002B1CD2" w:rsidP="004E25A6">
      <w:pPr>
        <w:spacing w:before="120" w:after="0" w:line="360" w:lineRule="auto"/>
        <w:jc w:val="both"/>
        <w:rPr>
          <w:sz w:val="20"/>
          <w:szCs w:val="20"/>
        </w:rPr>
      </w:pPr>
    </w:p>
    <w:p w:rsidR="00795E5B" w:rsidRPr="00111776" w:rsidRDefault="001B16E0" w:rsidP="00116A31">
      <w:pPr>
        <w:spacing w:before="12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Naďalej klesá </w:t>
      </w:r>
      <w:r w:rsidR="004E25A6" w:rsidRPr="00111776">
        <w:rPr>
          <w:sz w:val="20"/>
          <w:szCs w:val="20"/>
        </w:rPr>
        <w:t>odber tradičných tlačených periodík; oproti roku 201</w:t>
      </w:r>
      <w:r w:rsidR="00322C2C">
        <w:rPr>
          <w:sz w:val="20"/>
          <w:szCs w:val="20"/>
        </w:rPr>
        <w:t>3</w:t>
      </w:r>
      <w:r w:rsidR="004E25A6" w:rsidRPr="00111776">
        <w:rPr>
          <w:sz w:val="20"/>
          <w:szCs w:val="20"/>
        </w:rPr>
        <w:t xml:space="preserve"> o</w:t>
      </w:r>
      <w:r w:rsidR="00322C2C">
        <w:rPr>
          <w:sz w:val="20"/>
          <w:szCs w:val="20"/>
        </w:rPr>
        <w:t xml:space="preserve"> 156 </w:t>
      </w:r>
      <w:r w:rsidR="004E25A6" w:rsidRPr="00111776">
        <w:rPr>
          <w:sz w:val="20"/>
          <w:szCs w:val="20"/>
        </w:rPr>
        <w:t>titulov</w:t>
      </w:r>
      <w:r w:rsidR="00E82935">
        <w:rPr>
          <w:sz w:val="20"/>
          <w:szCs w:val="20"/>
        </w:rPr>
        <w:t>,</w:t>
      </w:r>
      <w:r w:rsidR="00322C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naopak však narastá počet </w:t>
      </w:r>
      <w:r w:rsidR="00322C2C">
        <w:rPr>
          <w:sz w:val="20"/>
          <w:szCs w:val="20"/>
        </w:rPr>
        <w:t xml:space="preserve">online </w:t>
      </w:r>
      <w:r w:rsidR="005B1EF1">
        <w:rPr>
          <w:sz w:val="20"/>
          <w:szCs w:val="20"/>
        </w:rPr>
        <w:t xml:space="preserve">sprístupňovaných  </w:t>
      </w:r>
      <w:r w:rsidR="00322C2C">
        <w:rPr>
          <w:sz w:val="20"/>
          <w:szCs w:val="20"/>
        </w:rPr>
        <w:t>čas</w:t>
      </w:r>
      <w:r w:rsidR="0080100A">
        <w:rPr>
          <w:sz w:val="20"/>
          <w:szCs w:val="20"/>
        </w:rPr>
        <w:t>o</w:t>
      </w:r>
      <w:r w:rsidR="00322C2C">
        <w:rPr>
          <w:sz w:val="20"/>
          <w:szCs w:val="20"/>
        </w:rPr>
        <w:t>pisov</w:t>
      </w:r>
      <w:r w:rsidR="005B1EF1">
        <w:rPr>
          <w:sz w:val="20"/>
          <w:szCs w:val="20"/>
        </w:rPr>
        <w:t xml:space="preserve"> - </w:t>
      </w:r>
      <w:r w:rsidR="00E82935">
        <w:rPr>
          <w:sz w:val="20"/>
          <w:szCs w:val="20"/>
        </w:rPr>
        <w:t xml:space="preserve"> </w:t>
      </w:r>
      <w:r w:rsidR="00322C2C" w:rsidRPr="00322C2C">
        <w:rPr>
          <w:b/>
          <w:sz w:val="20"/>
          <w:szCs w:val="20"/>
        </w:rPr>
        <w:t>75 689 titulov</w:t>
      </w:r>
      <w:r w:rsidR="00322C2C">
        <w:rPr>
          <w:sz w:val="20"/>
          <w:szCs w:val="20"/>
        </w:rPr>
        <w:t xml:space="preserve">, ktoré AK </w:t>
      </w:r>
      <w:r w:rsidR="00E82935">
        <w:rPr>
          <w:sz w:val="20"/>
          <w:szCs w:val="20"/>
        </w:rPr>
        <w:t xml:space="preserve">nakúpili </w:t>
      </w:r>
      <w:r w:rsidR="00322C2C">
        <w:rPr>
          <w:sz w:val="20"/>
          <w:szCs w:val="20"/>
        </w:rPr>
        <w:t xml:space="preserve">z vlastných rozpočtov. Spolu s periodikami, ktoré sú </w:t>
      </w:r>
      <w:r w:rsidR="004E25A6" w:rsidRPr="00111776">
        <w:rPr>
          <w:sz w:val="20"/>
          <w:szCs w:val="20"/>
        </w:rPr>
        <w:t>dostupné v rámci centrálne licencovaných informačných zdrojov v projekte NISPEZ</w:t>
      </w:r>
      <w:r w:rsidR="00322C2C">
        <w:rPr>
          <w:sz w:val="20"/>
          <w:szCs w:val="20"/>
        </w:rPr>
        <w:t xml:space="preserve"> </w:t>
      </w:r>
      <w:r w:rsidR="005B1EF1">
        <w:rPr>
          <w:sz w:val="20"/>
          <w:szCs w:val="20"/>
        </w:rPr>
        <w:t xml:space="preserve">I </w:t>
      </w:r>
      <w:r w:rsidR="00322C2C">
        <w:rPr>
          <w:sz w:val="20"/>
          <w:szCs w:val="20"/>
        </w:rPr>
        <w:t>a NISPEZ II</w:t>
      </w:r>
      <w:r w:rsidR="005B1EF1">
        <w:rPr>
          <w:sz w:val="20"/>
          <w:szCs w:val="20"/>
        </w:rPr>
        <w:t>,</w:t>
      </w:r>
      <w:r w:rsidR="00322C2C">
        <w:rPr>
          <w:sz w:val="20"/>
          <w:szCs w:val="20"/>
        </w:rPr>
        <w:t xml:space="preserve"> sa situácia v oblasti sprístupňovania najnovších vedeckých </w:t>
      </w:r>
      <w:r w:rsidR="0080100A">
        <w:rPr>
          <w:sz w:val="20"/>
          <w:szCs w:val="20"/>
        </w:rPr>
        <w:t xml:space="preserve">poznatkov stáva porovnateľnou so zahraničím. </w:t>
      </w:r>
      <w:r w:rsidR="005C7988">
        <w:rPr>
          <w:sz w:val="20"/>
          <w:szCs w:val="20"/>
        </w:rPr>
        <w:t xml:space="preserve">Spolu so stúpajúcim objemom sprístupňovaných </w:t>
      </w:r>
      <w:proofErr w:type="spellStart"/>
      <w:r w:rsidR="005C7988">
        <w:rPr>
          <w:sz w:val="20"/>
          <w:szCs w:val="20"/>
        </w:rPr>
        <w:t>plnotextových</w:t>
      </w:r>
      <w:proofErr w:type="spellEnd"/>
      <w:r w:rsidR="005C7988">
        <w:rPr>
          <w:sz w:val="20"/>
          <w:szCs w:val="20"/>
        </w:rPr>
        <w:t xml:space="preserve">  </w:t>
      </w:r>
      <w:proofErr w:type="spellStart"/>
      <w:r w:rsidR="005C7988">
        <w:rPr>
          <w:sz w:val="20"/>
          <w:szCs w:val="20"/>
        </w:rPr>
        <w:t>e-zdrojov</w:t>
      </w:r>
      <w:proofErr w:type="spellEnd"/>
      <w:r w:rsidR="005C7988">
        <w:rPr>
          <w:sz w:val="20"/>
          <w:szCs w:val="20"/>
        </w:rPr>
        <w:t xml:space="preserve"> naliehavo v</w:t>
      </w:r>
      <w:r w:rsidR="0080100A">
        <w:rPr>
          <w:sz w:val="20"/>
          <w:szCs w:val="20"/>
        </w:rPr>
        <w:t>ystupuj</w:t>
      </w:r>
      <w:r w:rsidR="005C7988">
        <w:rPr>
          <w:sz w:val="20"/>
          <w:szCs w:val="20"/>
        </w:rPr>
        <w:t>e</w:t>
      </w:r>
      <w:r w:rsidR="0080100A">
        <w:rPr>
          <w:sz w:val="20"/>
          <w:szCs w:val="20"/>
        </w:rPr>
        <w:t xml:space="preserve"> do popredia otázk</w:t>
      </w:r>
      <w:r w:rsidR="005C7988">
        <w:rPr>
          <w:sz w:val="20"/>
          <w:szCs w:val="20"/>
        </w:rPr>
        <w:t>a</w:t>
      </w:r>
      <w:r w:rsidR="0080100A">
        <w:rPr>
          <w:sz w:val="20"/>
          <w:szCs w:val="20"/>
        </w:rPr>
        <w:t xml:space="preserve"> súvisiac</w:t>
      </w:r>
      <w:r w:rsidR="005C7988">
        <w:rPr>
          <w:sz w:val="20"/>
          <w:szCs w:val="20"/>
        </w:rPr>
        <w:t>a</w:t>
      </w:r>
      <w:r w:rsidR="0080100A">
        <w:rPr>
          <w:sz w:val="20"/>
          <w:szCs w:val="20"/>
        </w:rPr>
        <w:t xml:space="preserve"> s uchovávaním a archivovaním nakúpených zdrojov pravdaže v súlade s ich licenčnými podmienkami</w:t>
      </w:r>
      <w:r w:rsidR="00E82935">
        <w:rPr>
          <w:sz w:val="20"/>
          <w:szCs w:val="20"/>
        </w:rPr>
        <w:t xml:space="preserve">, najlepšie na zabezpečenom centrálnom úložisku. </w:t>
      </w:r>
      <w:r w:rsidR="0080100A">
        <w:rPr>
          <w:sz w:val="20"/>
          <w:szCs w:val="20"/>
        </w:rPr>
        <w:t xml:space="preserve"> </w:t>
      </w:r>
      <w:r w:rsidR="005C7988">
        <w:rPr>
          <w:sz w:val="20"/>
          <w:szCs w:val="20"/>
        </w:rPr>
        <w:t xml:space="preserve">CVTI SR ako koordinátor projektu NISPEZ rieši i problém uchovávania týchto zdrojov, čo otvára priestor i pre spoluprácu s AK pri archivovaní ich vlastných licencovaných EIZ.  </w:t>
      </w:r>
      <w:r w:rsidR="0080100A">
        <w:rPr>
          <w:sz w:val="20"/>
          <w:szCs w:val="20"/>
        </w:rPr>
        <w:t xml:space="preserve"> </w:t>
      </w:r>
      <w:r w:rsidR="00E82935">
        <w:rPr>
          <w:sz w:val="20"/>
          <w:szCs w:val="20"/>
        </w:rPr>
        <w:t xml:space="preserve">Aj v r. 2013 pokračovala intenzívna retrokatalogizácia s cieľom </w:t>
      </w:r>
      <w:r w:rsidR="00116A31">
        <w:rPr>
          <w:sz w:val="20"/>
          <w:szCs w:val="20"/>
        </w:rPr>
        <w:t xml:space="preserve">sprístupniť </w:t>
      </w:r>
      <w:r w:rsidR="005B1EF1">
        <w:rPr>
          <w:sz w:val="20"/>
          <w:szCs w:val="20"/>
        </w:rPr>
        <w:t xml:space="preserve">verejnosti čo najväčšiu časť KF </w:t>
      </w:r>
      <w:r w:rsidR="00382DD9" w:rsidRPr="00111776">
        <w:rPr>
          <w:sz w:val="20"/>
          <w:szCs w:val="20"/>
        </w:rPr>
        <w:t xml:space="preserve">prostredníctvom online katalógov, v ktorých je spracovaných </w:t>
      </w:r>
      <w:r w:rsidR="00382DD9" w:rsidRPr="00111776">
        <w:rPr>
          <w:b/>
          <w:sz w:val="20"/>
          <w:szCs w:val="20"/>
        </w:rPr>
        <w:t>až 69,86% z celkového objemu KF AK</w:t>
      </w:r>
      <w:r w:rsidR="00795E5B" w:rsidRPr="00111776">
        <w:rPr>
          <w:b/>
          <w:sz w:val="20"/>
          <w:szCs w:val="20"/>
        </w:rPr>
        <w:t xml:space="preserve"> </w:t>
      </w:r>
      <w:r w:rsidR="00795E5B" w:rsidRPr="00111776">
        <w:rPr>
          <w:sz w:val="20"/>
          <w:szCs w:val="20"/>
        </w:rPr>
        <w:t>(graf č. 2)</w:t>
      </w:r>
      <w:r w:rsidR="006E7A2C" w:rsidRPr="00111776">
        <w:rPr>
          <w:sz w:val="20"/>
          <w:szCs w:val="20"/>
        </w:rPr>
        <w:t xml:space="preserve">. </w:t>
      </w:r>
    </w:p>
    <w:p w:rsidR="00A53E64" w:rsidRPr="00111776" w:rsidRDefault="00A53E64" w:rsidP="00C030E2">
      <w:pPr>
        <w:jc w:val="center"/>
        <w:rPr>
          <w:sz w:val="20"/>
          <w:szCs w:val="20"/>
        </w:rPr>
      </w:pPr>
    </w:p>
    <w:p w:rsidR="00151241" w:rsidRPr="00111776" w:rsidRDefault="00474E95" w:rsidP="00795E5B">
      <w:pPr>
        <w:jc w:val="center"/>
        <w:rPr>
          <w:b/>
          <w:sz w:val="20"/>
          <w:szCs w:val="20"/>
        </w:rPr>
      </w:pPr>
      <w:r w:rsidRPr="00111776">
        <w:rPr>
          <w:b/>
          <w:noProof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9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1241" w:rsidRPr="00111776" w:rsidRDefault="00795E5B" w:rsidP="00795E5B">
      <w:pPr>
        <w:jc w:val="center"/>
        <w:rPr>
          <w:b/>
          <w:sz w:val="20"/>
          <w:szCs w:val="20"/>
        </w:rPr>
      </w:pPr>
      <w:r w:rsidRPr="00111776">
        <w:rPr>
          <w:b/>
          <w:sz w:val="20"/>
          <w:szCs w:val="20"/>
        </w:rPr>
        <w:t>Graf 2: Prírastky online katalógov AK</w:t>
      </w:r>
    </w:p>
    <w:p w:rsidR="00795E5B" w:rsidRPr="00111776" w:rsidRDefault="00795E5B" w:rsidP="0080100A">
      <w:pPr>
        <w:spacing w:line="360" w:lineRule="auto"/>
        <w:jc w:val="both"/>
        <w:rPr>
          <w:sz w:val="20"/>
          <w:szCs w:val="20"/>
        </w:rPr>
      </w:pPr>
      <w:r w:rsidRPr="00111776">
        <w:rPr>
          <w:sz w:val="20"/>
          <w:szCs w:val="20"/>
        </w:rPr>
        <w:t xml:space="preserve">Novinkou v štatistickom sledovaní je informácia o dokumentoch uložených </w:t>
      </w:r>
      <w:r w:rsidRPr="00111776">
        <w:rPr>
          <w:b/>
          <w:sz w:val="20"/>
          <w:szCs w:val="20"/>
        </w:rPr>
        <w:t>vo voľnom prístupe</w:t>
      </w:r>
      <w:r w:rsidRPr="00111776">
        <w:rPr>
          <w:sz w:val="20"/>
          <w:szCs w:val="20"/>
        </w:rPr>
        <w:t xml:space="preserve">. V r. 2013 vykázali AK </w:t>
      </w:r>
      <w:r w:rsidRPr="00111776">
        <w:rPr>
          <w:b/>
          <w:sz w:val="20"/>
          <w:szCs w:val="20"/>
        </w:rPr>
        <w:t>1 362 219</w:t>
      </w:r>
      <w:r w:rsidRPr="00111776">
        <w:rPr>
          <w:sz w:val="20"/>
          <w:szCs w:val="20"/>
        </w:rPr>
        <w:t xml:space="preserve"> k. j. uložených vo voľnom prístupe, čo je  </w:t>
      </w:r>
      <w:r w:rsidRPr="00111776">
        <w:rPr>
          <w:b/>
          <w:sz w:val="20"/>
          <w:szCs w:val="20"/>
        </w:rPr>
        <w:t>21,83%</w:t>
      </w:r>
      <w:r w:rsidRPr="00111776">
        <w:rPr>
          <w:sz w:val="20"/>
          <w:szCs w:val="20"/>
        </w:rPr>
        <w:t xml:space="preserve"> z celkového objemu KF.  Objem </w:t>
      </w:r>
      <w:r w:rsidRPr="00111776">
        <w:rPr>
          <w:sz w:val="20"/>
          <w:szCs w:val="20"/>
        </w:rPr>
        <w:lastRenderedPageBreak/>
        <w:t>odporúčaného fondu uloženého vo voľnom prístupe je daný veľkosťou AK. Veľké AK s fondom nad 200 000 k.j. (napr. na UK v Bratislave, UPJŠ v Košiciach, EU v Bratislave, SPU v Nitre, TU vo Zvolene, PU v Prešove ai</w:t>
      </w:r>
      <w:r w:rsidR="005B1EF1">
        <w:rPr>
          <w:sz w:val="20"/>
          <w:szCs w:val="20"/>
        </w:rPr>
        <w:t>.</w:t>
      </w:r>
      <w:r w:rsidRPr="00111776">
        <w:rPr>
          <w:sz w:val="20"/>
          <w:szCs w:val="20"/>
        </w:rPr>
        <w:t xml:space="preserve">) by mali mať vo voľnom prístupe </w:t>
      </w:r>
      <w:r w:rsidRPr="00111776">
        <w:rPr>
          <w:b/>
          <w:sz w:val="20"/>
          <w:szCs w:val="20"/>
        </w:rPr>
        <w:t>do 25% KF</w:t>
      </w:r>
      <w:r w:rsidRPr="00111776">
        <w:rPr>
          <w:sz w:val="20"/>
          <w:szCs w:val="20"/>
        </w:rPr>
        <w:t xml:space="preserve">, stredné AK s fondom od 80 000 – 200 000 k.j., ktorých je väčšina  </w:t>
      </w:r>
      <w:r w:rsidRPr="00111776">
        <w:rPr>
          <w:b/>
          <w:sz w:val="20"/>
          <w:szCs w:val="20"/>
        </w:rPr>
        <w:t>od 20% - 40%</w:t>
      </w:r>
      <w:r w:rsidRPr="00111776">
        <w:rPr>
          <w:sz w:val="20"/>
          <w:szCs w:val="20"/>
        </w:rPr>
        <w:t xml:space="preserve"> </w:t>
      </w:r>
      <w:r w:rsidRPr="00111776">
        <w:rPr>
          <w:b/>
          <w:sz w:val="20"/>
          <w:szCs w:val="20"/>
        </w:rPr>
        <w:t>KF</w:t>
      </w:r>
      <w:r w:rsidRPr="00111776">
        <w:rPr>
          <w:sz w:val="20"/>
          <w:szCs w:val="20"/>
        </w:rPr>
        <w:t xml:space="preserve"> a malé AK by mali mať väčšinu KF vo voľnom prístupe</w:t>
      </w:r>
      <w:r w:rsidRPr="00111776">
        <w:rPr>
          <w:rStyle w:val="Odkaznapoznmkupodiarou"/>
          <w:sz w:val="20"/>
          <w:szCs w:val="20"/>
        </w:rPr>
        <w:footnoteReference w:id="4"/>
      </w:r>
      <w:r w:rsidRPr="00111776">
        <w:rPr>
          <w:sz w:val="20"/>
          <w:szCs w:val="20"/>
        </w:rPr>
        <w:t xml:space="preserve">.  Neobmedzený </w:t>
      </w:r>
      <w:r w:rsidR="00461522" w:rsidRPr="00111776">
        <w:rPr>
          <w:sz w:val="20"/>
          <w:szCs w:val="20"/>
        </w:rPr>
        <w:t xml:space="preserve">prístup </w:t>
      </w:r>
      <w:r w:rsidRPr="00111776">
        <w:rPr>
          <w:sz w:val="20"/>
          <w:szCs w:val="20"/>
        </w:rPr>
        <w:t>k tlačeným dokumentom prispieva k slobodnému získavaniu a výberu informácií  a je súčasťou odporúčaní vyjadrených v Manifeste UNESCO o </w:t>
      </w:r>
      <w:r w:rsidR="0080100A">
        <w:rPr>
          <w:sz w:val="20"/>
          <w:szCs w:val="20"/>
        </w:rPr>
        <w:t xml:space="preserve"> knižniciach</w:t>
      </w:r>
      <w:r w:rsidRPr="00111776">
        <w:rPr>
          <w:sz w:val="20"/>
          <w:szCs w:val="20"/>
        </w:rPr>
        <w:t xml:space="preserve">. V podmienkach slovenských akademických knižníc naráža uplatňovanie tohto poslania na obmedzenia dané priestorovými dispozíciami knižníc, z ktorých mnohé sídlia v nevyhovujúcich priestoroch, </w:t>
      </w:r>
      <w:r w:rsidR="0080100A">
        <w:rPr>
          <w:sz w:val="20"/>
          <w:szCs w:val="20"/>
        </w:rPr>
        <w:t>bez možnosti zabezpečiť voľný prístup k dokumentom</w:t>
      </w:r>
      <w:r w:rsidRPr="00111776">
        <w:rPr>
          <w:sz w:val="20"/>
          <w:szCs w:val="20"/>
        </w:rPr>
        <w:t xml:space="preserve">. </w:t>
      </w:r>
    </w:p>
    <w:p w:rsidR="006E7A2C" w:rsidRPr="00111776" w:rsidRDefault="006E7A2C" w:rsidP="00F51AC9">
      <w:pPr>
        <w:pStyle w:val="Popis"/>
        <w:keepNext/>
        <w:jc w:val="center"/>
        <w:rPr>
          <w:rFonts w:asciiTheme="minorHAnsi" w:hAnsiTheme="minorHAnsi"/>
        </w:rPr>
      </w:pPr>
      <w:r w:rsidRPr="00111776">
        <w:rPr>
          <w:rFonts w:asciiTheme="minorHAnsi" w:hAnsiTheme="minorHAnsi"/>
        </w:rPr>
        <w:t xml:space="preserve">Tabuľka </w:t>
      </w:r>
      <w:r w:rsidR="00D906DF" w:rsidRPr="00111776">
        <w:rPr>
          <w:rFonts w:asciiTheme="minorHAnsi" w:hAnsiTheme="minorHAnsi"/>
        </w:rPr>
        <w:fldChar w:fldCharType="begin"/>
      </w:r>
      <w:r w:rsidR="000B63D7" w:rsidRPr="00111776">
        <w:rPr>
          <w:rFonts w:asciiTheme="minorHAnsi" w:hAnsiTheme="minorHAnsi"/>
        </w:rPr>
        <w:instrText xml:space="preserve"> SEQ Tabuľka \* ARABIC </w:instrText>
      </w:r>
      <w:r w:rsidR="00D906DF" w:rsidRPr="00111776">
        <w:rPr>
          <w:rFonts w:asciiTheme="minorHAnsi" w:hAnsiTheme="minorHAnsi"/>
        </w:rPr>
        <w:fldChar w:fldCharType="separate"/>
      </w:r>
      <w:r w:rsidR="00243109" w:rsidRPr="00111776">
        <w:rPr>
          <w:rFonts w:asciiTheme="minorHAnsi" w:hAnsiTheme="minorHAnsi"/>
          <w:noProof/>
        </w:rPr>
        <w:t>3</w:t>
      </w:r>
      <w:r w:rsidR="00D906DF" w:rsidRPr="00111776">
        <w:rPr>
          <w:rFonts w:asciiTheme="minorHAnsi" w:hAnsiTheme="minorHAnsi"/>
        </w:rPr>
        <w:fldChar w:fldCharType="end"/>
      </w:r>
      <w:r w:rsidRPr="00111776">
        <w:rPr>
          <w:rFonts w:asciiTheme="minorHAnsi" w:hAnsiTheme="minorHAnsi"/>
        </w:rPr>
        <w:t>: Prehľad finančných prostriedkov vynaložených na nákup KF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1269"/>
        <w:gridCol w:w="1021"/>
        <w:gridCol w:w="1295"/>
        <w:gridCol w:w="1269"/>
      </w:tblGrid>
      <w:tr w:rsidR="006E7A2C" w:rsidRPr="00111776" w:rsidTr="00C030E2">
        <w:trPr>
          <w:jc w:val="center"/>
        </w:trPr>
        <w:tc>
          <w:tcPr>
            <w:tcW w:w="0" w:type="auto"/>
          </w:tcPr>
          <w:p w:rsidR="006E7A2C" w:rsidRPr="00111776" w:rsidRDefault="006E7A2C" w:rsidP="00C03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7A2C" w:rsidRPr="00111776" w:rsidRDefault="006E7A2C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Verejné VŠ</w:t>
            </w:r>
          </w:p>
        </w:tc>
        <w:tc>
          <w:tcPr>
            <w:tcW w:w="0" w:type="auto"/>
            <w:vAlign w:val="center"/>
          </w:tcPr>
          <w:p w:rsidR="006E7A2C" w:rsidRPr="00111776" w:rsidRDefault="006E7A2C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Štátne VŠ</w:t>
            </w:r>
          </w:p>
        </w:tc>
        <w:tc>
          <w:tcPr>
            <w:tcW w:w="0" w:type="auto"/>
            <w:vAlign w:val="center"/>
          </w:tcPr>
          <w:p w:rsidR="006E7A2C" w:rsidRPr="00111776" w:rsidRDefault="006E7A2C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Súkromné VŠ</w:t>
            </w:r>
          </w:p>
        </w:tc>
        <w:tc>
          <w:tcPr>
            <w:tcW w:w="0" w:type="auto"/>
            <w:vAlign w:val="center"/>
          </w:tcPr>
          <w:p w:rsidR="006E7A2C" w:rsidRPr="00111776" w:rsidRDefault="006E7A2C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Všetky VŠ</w:t>
            </w:r>
          </w:p>
        </w:tc>
      </w:tr>
      <w:tr w:rsidR="006E7A2C" w:rsidRPr="00111776" w:rsidTr="00C030E2">
        <w:trPr>
          <w:jc w:val="center"/>
        </w:trPr>
        <w:tc>
          <w:tcPr>
            <w:tcW w:w="0" w:type="auto"/>
          </w:tcPr>
          <w:p w:rsidR="006E7A2C" w:rsidRPr="00111776" w:rsidRDefault="006E7A2C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Náklady na nákup KF</w:t>
            </w:r>
          </w:p>
        </w:tc>
        <w:tc>
          <w:tcPr>
            <w:tcW w:w="0" w:type="auto"/>
            <w:vAlign w:val="center"/>
          </w:tcPr>
          <w:p w:rsidR="006E7A2C" w:rsidRPr="00111776" w:rsidRDefault="00ED4511" w:rsidP="00ED4511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1 166 648,00 </w:t>
            </w:r>
          </w:p>
        </w:tc>
        <w:tc>
          <w:tcPr>
            <w:tcW w:w="0" w:type="auto"/>
            <w:vAlign w:val="center"/>
          </w:tcPr>
          <w:p w:rsidR="006E7A2C" w:rsidRPr="00111776" w:rsidRDefault="00ED451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19 854,00</w:t>
            </w:r>
          </w:p>
        </w:tc>
        <w:tc>
          <w:tcPr>
            <w:tcW w:w="0" w:type="auto"/>
            <w:vAlign w:val="center"/>
          </w:tcPr>
          <w:p w:rsidR="006E7A2C" w:rsidRPr="00111776" w:rsidRDefault="00ED451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91 278,00</w:t>
            </w:r>
          </w:p>
        </w:tc>
        <w:tc>
          <w:tcPr>
            <w:tcW w:w="0" w:type="auto"/>
            <w:vAlign w:val="center"/>
          </w:tcPr>
          <w:p w:rsidR="006E7A2C" w:rsidRPr="00111776" w:rsidRDefault="00ED451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1 277 780,00</w:t>
            </w:r>
          </w:p>
        </w:tc>
      </w:tr>
      <w:tr w:rsidR="006E7A2C" w:rsidRPr="00111776" w:rsidTr="00C030E2">
        <w:trPr>
          <w:jc w:val="center"/>
        </w:trPr>
        <w:tc>
          <w:tcPr>
            <w:tcW w:w="0" w:type="auto"/>
          </w:tcPr>
          <w:p w:rsidR="006E7A2C" w:rsidRPr="00111776" w:rsidRDefault="006E7A2C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knižnicu</w:t>
            </w:r>
          </w:p>
        </w:tc>
        <w:tc>
          <w:tcPr>
            <w:tcW w:w="0" w:type="auto"/>
            <w:vAlign w:val="center"/>
          </w:tcPr>
          <w:p w:rsidR="006E7A2C" w:rsidRPr="00111776" w:rsidRDefault="00ED451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44 871,08</w:t>
            </w:r>
          </w:p>
        </w:tc>
        <w:tc>
          <w:tcPr>
            <w:tcW w:w="0" w:type="auto"/>
            <w:vAlign w:val="center"/>
          </w:tcPr>
          <w:p w:rsidR="006E7A2C" w:rsidRPr="00111776" w:rsidRDefault="00ED451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6 618,00</w:t>
            </w:r>
          </w:p>
        </w:tc>
        <w:tc>
          <w:tcPr>
            <w:tcW w:w="0" w:type="auto"/>
            <w:vAlign w:val="center"/>
          </w:tcPr>
          <w:p w:rsidR="006E7A2C" w:rsidRPr="00111776" w:rsidRDefault="00ED451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8 298,00</w:t>
            </w:r>
          </w:p>
        </w:tc>
        <w:tc>
          <w:tcPr>
            <w:tcW w:w="0" w:type="auto"/>
            <w:vAlign w:val="center"/>
          </w:tcPr>
          <w:p w:rsidR="006E7A2C" w:rsidRPr="00111776" w:rsidRDefault="00ED4511" w:rsidP="002B1CD2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31</w:t>
            </w:r>
            <w:r w:rsidR="002B1CD2" w:rsidRPr="00111776">
              <w:rPr>
                <w:sz w:val="20"/>
                <w:szCs w:val="20"/>
              </w:rPr>
              <w:t xml:space="preserve"> </w:t>
            </w:r>
            <w:r w:rsidRPr="00111776">
              <w:rPr>
                <w:sz w:val="20"/>
                <w:szCs w:val="20"/>
              </w:rPr>
              <w:t>944</w:t>
            </w:r>
            <w:r w:rsidR="002B1CD2" w:rsidRPr="00111776">
              <w:rPr>
                <w:sz w:val="20"/>
                <w:szCs w:val="20"/>
              </w:rPr>
              <w:t>,</w:t>
            </w:r>
            <w:r w:rsidRPr="00111776">
              <w:rPr>
                <w:sz w:val="20"/>
                <w:szCs w:val="20"/>
              </w:rPr>
              <w:t>50</w:t>
            </w:r>
          </w:p>
        </w:tc>
      </w:tr>
      <w:tr w:rsidR="006E7A2C" w:rsidRPr="00111776" w:rsidTr="00C030E2">
        <w:trPr>
          <w:jc w:val="center"/>
        </w:trPr>
        <w:tc>
          <w:tcPr>
            <w:tcW w:w="0" w:type="auto"/>
          </w:tcPr>
          <w:p w:rsidR="006E7A2C" w:rsidRPr="00111776" w:rsidRDefault="006E7A2C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dokument</w:t>
            </w:r>
          </w:p>
        </w:tc>
        <w:tc>
          <w:tcPr>
            <w:tcW w:w="0" w:type="auto"/>
            <w:vAlign w:val="center"/>
          </w:tcPr>
          <w:p w:rsidR="006E7A2C" w:rsidRPr="00111776" w:rsidRDefault="00F14D76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6,80</w:t>
            </w:r>
          </w:p>
        </w:tc>
        <w:tc>
          <w:tcPr>
            <w:tcW w:w="0" w:type="auto"/>
            <w:vAlign w:val="center"/>
          </w:tcPr>
          <w:p w:rsidR="006E7A2C" w:rsidRPr="00111776" w:rsidRDefault="00F14D76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1,83</w:t>
            </w:r>
          </w:p>
        </w:tc>
        <w:tc>
          <w:tcPr>
            <w:tcW w:w="0" w:type="auto"/>
            <w:vAlign w:val="center"/>
          </w:tcPr>
          <w:p w:rsidR="006E7A2C" w:rsidRPr="00111776" w:rsidRDefault="00F14D76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4,55</w:t>
            </w:r>
          </w:p>
        </w:tc>
        <w:tc>
          <w:tcPr>
            <w:tcW w:w="0" w:type="auto"/>
            <w:vAlign w:val="center"/>
          </w:tcPr>
          <w:p w:rsidR="006E7A2C" w:rsidRPr="00111776" w:rsidRDefault="00F14D76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6,31</w:t>
            </w:r>
          </w:p>
        </w:tc>
      </w:tr>
      <w:tr w:rsidR="006E7A2C" w:rsidRPr="00111776" w:rsidTr="00C030E2">
        <w:trPr>
          <w:jc w:val="center"/>
        </w:trPr>
        <w:tc>
          <w:tcPr>
            <w:tcW w:w="0" w:type="auto"/>
          </w:tcPr>
          <w:p w:rsidR="006E7A2C" w:rsidRPr="00111776" w:rsidRDefault="006E7A2C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reg. používateľa</w:t>
            </w:r>
          </w:p>
        </w:tc>
        <w:tc>
          <w:tcPr>
            <w:tcW w:w="0" w:type="auto"/>
            <w:vAlign w:val="center"/>
          </w:tcPr>
          <w:p w:rsidR="006E7A2C" w:rsidRPr="00111776" w:rsidRDefault="00F14D76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7,206</w:t>
            </w:r>
          </w:p>
        </w:tc>
        <w:tc>
          <w:tcPr>
            <w:tcW w:w="0" w:type="auto"/>
            <w:vAlign w:val="center"/>
          </w:tcPr>
          <w:p w:rsidR="006E7A2C" w:rsidRPr="00111776" w:rsidRDefault="00F14D76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1,765</w:t>
            </w:r>
          </w:p>
        </w:tc>
        <w:tc>
          <w:tcPr>
            <w:tcW w:w="0" w:type="auto"/>
            <w:vAlign w:val="center"/>
          </w:tcPr>
          <w:p w:rsidR="006E7A2C" w:rsidRPr="00111776" w:rsidRDefault="00F14D76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9,093</w:t>
            </w:r>
          </w:p>
        </w:tc>
        <w:tc>
          <w:tcPr>
            <w:tcW w:w="0" w:type="auto"/>
            <w:vAlign w:val="center"/>
          </w:tcPr>
          <w:p w:rsidR="006E7A2C" w:rsidRPr="00111776" w:rsidRDefault="00F14D76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6,973</w:t>
            </w:r>
          </w:p>
        </w:tc>
      </w:tr>
    </w:tbl>
    <w:p w:rsidR="00151241" w:rsidRDefault="00151241">
      <w:pPr>
        <w:rPr>
          <w:sz w:val="20"/>
          <w:szCs w:val="20"/>
        </w:rPr>
      </w:pPr>
    </w:p>
    <w:p w:rsidR="000B610D" w:rsidRPr="000B610D" w:rsidRDefault="000B610D" w:rsidP="000B610D">
      <w:pPr>
        <w:spacing w:line="360" w:lineRule="auto"/>
        <w:rPr>
          <w:rFonts w:ascii="Times New Roman" w:hAnsi="Times New Roman"/>
          <w:b/>
          <w:u w:val="single"/>
        </w:rPr>
      </w:pPr>
      <w:r w:rsidRPr="000B610D">
        <w:rPr>
          <w:rFonts w:ascii="Times New Roman" w:hAnsi="Times New Roman"/>
          <w:b/>
          <w:u w:val="single"/>
        </w:rPr>
        <w:t>Používatelia  a zamestnanci akademických knižníc</w:t>
      </w:r>
    </w:p>
    <w:p w:rsidR="00116A31" w:rsidRPr="002B10F6" w:rsidRDefault="00116A31" w:rsidP="00116A31">
      <w:pPr>
        <w:spacing w:line="360" w:lineRule="auto"/>
        <w:jc w:val="both"/>
        <w:rPr>
          <w:sz w:val="20"/>
          <w:szCs w:val="20"/>
        </w:rPr>
      </w:pPr>
      <w:r w:rsidRPr="002B10F6">
        <w:rPr>
          <w:sz w:val="20"/>
          <w:szCs w:val="20"/>
        </w:rPr>
        <w:t>Rozširovanie online služieb, ktoré knižnice poskytujú prostredníctvom svojich knižničných systémov a webových stránok je jedným z dôvodov, prečo v prostredí akademických knižníc neregistrujeme taký výrazný pokles používateľov ako v iných knižniciach</w:t>
      </w:r>
      <w:r w:rsidRPr="002B10F6">
        <w:rPr>
          <w:rStyle w:val="Odkaznapoznmkupodiarou"/>
          <w:sz w:val="20"/>
          <w:szCs w:val="20"/>
        </w:rPr>
        <w:footnoteReference w:id="5"/>
      </w:r>
      <w:r w:rsidRPr="002B10F6">
        <w:rPr>
          <w:sz w:val="20"/>
          <w:szCs w:val="20"/>
        </w:rPr>
        <w:t xml:space="preserve">. Skôr naopak, pretože napriek klesajúcemu počtu študentov na VŠ, v akademických knižniciach stúpa percento aktívnych registrovaných používateľov:  v r. 2013  to bolo </w:t>
      </w:r>
      <w:r w:rsidRPr="002B10F6">
        <w:rPr>
          <w:b/>
          <w:sz w:val="20"/>
          <w:szCs w:val="20"/>
        </w:rPr>
        <w:t>76 %</w:t>
      </w:r>
      <w:r w:rsidRPr="002B10F6">
        <w:rPr>
          <w:sz w:val="20"/>
          <w:szCs w:val="20"/>
        </w:rPr>
        <w:t xml:space="preserve"> študentov z celkového počtu potenciálnych používateľov (graf č. 3).</w:t>
      </w:r>
    </w:p>
    <w:p w:rsidR="00F54A4D" w:rsidRPr="00111776" w:rsidRDefault="00F54A4D" w:rsidP="00F51AC9">
      <w:pPr>
        <w:pStyle w:val="Popis"/>
        <w:keepNext/>
        <w:jc w:val="center"/>
        <w:rPr>
          <w:rFonts w:asciiTheme="minorHAnsi" w:hAnsiTheme="minorHAnsi"/>
        </w:rPr>
      </w:pPr>
      <w:r w:rsidRPr="00111776">
        <w:rPr>
          <w:rFonts w:asciiTheme="minorHAnsi" w:hAnsiTheme="minorHAnsi"/>
        </w:rPr>
        <w:t xml:space="preserve">Tabuľka </w:t>
      </w:r>
      <w:r w:rsidR="00D906DF" w:rsidRPr="00111776">
        <w:rPr>
          <w:rFonts w:asciiTheme="minorHAnsi" w:hAnsiTheme="minorHAnsi"/>
        </w:rPr>
        <w:fldChar w:fldCharType="begin"/>
      </w:r>
      <w:r w:rsidRPr="00111776">
        <w:rPr>
          <w:rFonts w:asciiTheme="minorHAnsi" w:hAnsiTheme="minorHAnsi"/>
        </w:rPr>
        <w:instrText xml:space="preserve"> SEQ Tabuľka \* ARABIC </w:instrText>
      </w:r>
      <w:r w:rsidR="00D906DF" w:rsidRPr="00111776">
        <w:rPr>
          <w:rFonts w:asciiTheme="minorHAnsi" w:hAnsiTheme="minorHAnsi"/>
        </w:rPr>
        <w:fldChar w:fldCharType="separate"/>
      </w:r>
      <w:r w:rsidRPr="00111776">
        <w:rPr>
          <w:rFonts w:asciiTheme="minorHAnsi" w:hAnsiTheme="minorHAnsi"/>
          <w:noProof/>
        </w:rPr>
        <w:t>4</w:t>
      </w:r>
      <w:r w:rsidR="00D906DF" w:rsidRPr="00111776">
        <w:rPr>
          <w:rFonts w:asciiTheme="minorHAnsi" w:hAnsiTheme="minorHAnsi"/>
        </w:rPr>
        <w:fldChar w:fldCharType="end"/>
      </w:r>
      <w:r w:rsidRPr="00111776">
        <w:rPr>
          <w:rFonts w:asciiTheme="minorHAnsi" w:hAnsiTheme="minorHAnsi"/>
        </w:rPr>
        <w:t>: Používatelia akademických knižníc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1102"/>
        <w:gridCol w:w="993"/>
        <w:gridCol w:w="1295"/>
        <w:gridCol w:w="1007"/>
      </w:tblGrid>
      <w:tr w:rsidR="00F54A4D" w:rsidRPr="00111776" w:rsidTr="00483112">
        <w:trPr>
          <w:jc w:val="center"/>
        </w:trPr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Verejné VŠ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Štátne VŠ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Súkromné VŠ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Všetky VŠ</w:t>
            </w:r>
          </w:p>
        </w:tc>
      </w:tr>
      <w:tr w:rsidR="00F54A4D" w:rsidRPr="00111776" w:rsidTr="00483112">
        <w:trPr>
          <w:jc w:val="center"/>
        </w:trPr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Potenciálni používatelia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181 129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7 937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26 634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215 700</w:t>
            </w:r>
          </w:p>
        </w:tc>
      </w:tr>
      <w:tr w:rsidR="00F54A4D" w:rsidRPr="00111776" w:rsidTr="00483112">
        <w:trPr>
          <w:jc w:val="center"/>
        </w:trPr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z toho VŠ študenti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158 487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4 945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25 345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188 777</w:t>
            </w:r>
          </w:p>
        </w:tc>
      </w:tr>
      <w:tr w:rsidR="00F54A4D" w:rsidRPr="00111776" w:rsidTr="00483112">
        <w:trPr>
          <w:jc w:val="center"/>
        </w:trPr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Počet registrovaných používateľov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161 954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11 243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10 038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183 235</w:t>
            </w:r>
          </w:p>
        </w:tc>
      </w:tr>
      <w:tr w:rsidR="00F54A4D" w:rsidRPr="00111776" w:rsidTr="00483112">
        <w:trPr>
          <w:jc w:val="center"/>
        </w:trPr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z toho poslucháči VŠ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131 950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2 406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9 242</w:t>
            </w:r>
          </w:p>
        </w:tc>
        <w:tc>
          <w:tcPr>
            <w:tcW w:w="0" w:type="auto"/>
          </w:tcPr>
          <w:p w:rsidR="00F54A4D" w:rsidRPr="00111776" w:rsidRDefault="00F54A4D" w:rsidP="00483112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143 598</w:t>
            </w:r>
          </w:p>
        </w:tc>
      </w:tr>
    </w:tbl>
    <w:p w:rsidR="00F54A4D" w:rsidRDefault="00F54A4D" w:rsidP="00116A31">
      <w:pPr>
        <w:spacing w:line="360" w:lineRule="auto"/>
        <w:jc w:val="both"/>
        <w:rPr>
          <w:sz w:val="20"/>
          <w:szCs w:val="20"/>
        </w:rPr>
      </w:pPr>
    </w:p>
    <w:p w:rsidR="00F54A4D" w:rsidRDefault="00F54A4D" w:rsidP="00116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Pravidelnými používateľmi  AK sú aj bežní návštevníci z radov ostatnej odbornej verejnosti , ktorých lákajú najmä bohaté informačné zdroje a vhodné technické vybavenie. </w:t>
      </w:r>
    </w:p>
    <w:p w:rsidR="00116A31" w:rsidRDefault="00116A31" w:rsidP="00116A31">
      <w:pPr>
        <w:spacing w:line="360" w:lineRule="auto"/>
        <w:jc w:val="center"/>
        <w:rPr>
          <w:sz w:val="20"/>
          <w:szCs w:val="20"/>
        </w:rPr>
      </w:pPr>
      <w:r w:rsidRPr="00116A31">
        <w:rPr>
          <w:noProof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2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6A31" w:rsidRPr="00111776" w:rsidRDefault="00116A31" w:rsidP="00116A31">
      <w:pPr>
        <w:jc w:val="center"/>
        <w:rPr>
          <w:b/>
          <w:sz w:val="20"/>
          <w:szCs w:val="20"/>
        </w:rPr>
      </w:pPr>
      <w:r w:rsidRPr="00111776">
        <w:rPr>
          <w:b/>
          <w:sz w:val="20"/>
          <w:szCs w:val="20"/>
        </w:rPr>
        <w:t xml:space="preserve">Graf </w:t>
      </w:r>
      <w:r>
        <w:rPr>
          <w:b/>
          <w:sz w:val="20"/>
          <w:szCs w:val="20"/>
        </w:rPr>
        <w:t>3</w:t>
      </w:r>
      <w:r w:rsidRPr="00111776">
        <w:rPr>
          <w:b/>
          <w:sz w:val="20"/>
          <w:szCs w:val="20"/>
        </w:rPr>
        <w:t>: Používatelia AK –porovnanie</w:t>
      </w:r>
    </w:p>
    <w:p w:rsidR="00B047E8" w:rsidRPr="0051285C" w:rsidRDefault="00B047E8" w:rsidP="00E82935">
      <w:pPr>
        <w:spacing w:before="120" w:after="0"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 xml:space="preserve">Mení sa forma návštevy </w:t>
      </w:r>
      <w:r w:rsidR="00F54A4D" w:rsidRPr="0051285C">
        <w:rPr>
          <w:sz w:val="20"/>
          <w:szCs w:val="20"/>
        </w:rPr>
        <w:t>AK</w:t>
      </w:r>
      <w:r w:rsidRPr="0051285C">
        <w:rPr>
          <w:sz w:val="20"/>
          <w:szCs w:val="20"/>
        </w:rPr>
        <w:t>, čoraz väčší počet používateľov využíva služby knižnice bez nutnosti jej fyzickej návštevy . Zabezpečovanie primeraného komfortu pri využívaní takýchto s</w:t>
      </w:r>
      <w:r w:rsidR="003C7E2B" w:rsidRPr="0051285C">
        <w:rPr>
          <w:sz w:val="20"/>
          <w:szCs w:val="20"/>
        </w:rPr>
        <w:t xml:space="preserve">lužieb kladie vyššie nároky na </w:t>
      </w:r>
      <w:r w:rsidRPr="0051285C">
        <w:rPr>
          <w:sz w:val="20"/>
          <w:szCs w:val="20"/>
        </w:rPr>
        <w:t>zamestnancov knižnice</w:t>
      </w:r>
      <w:r w:rsidR="00F54A4D" w:rsidRPr="0051285C">
        <w:rPr>
          <w:sz w:val="20"/>
          <w:szCs w:val="20"/>
        </w:rPr>
        <w:t xml:space="preserve"> a ich znalosti najmodernejších informačných technológií</w:t>
      </w:r>
      <w:r w:rsidR="00546FAB" w:rsidRPr="0051285C">
        <w:rPr>
          <w:sz w:val="20"/>
          <w:szCs w:val="20"/>
        </w:rPr>
        <w:t>;</w:t>
      </w:r>
      <w:r w:rsidRPr="0051285C">
        <w:rPr>
          <w:sz w:val="20"/>
          <w:szCs w:val="20"/>
        </w:rPr>
        <w:t xml:space="preserve"> </w:t>
      </w:r>
      <w:r w:rsidR="00546FAB" w:rsidRPr="0051285C">
        <w:rPr>
          <w:sz w:val="20"/>
          <w:szCs w:val="20"/>
        </w:rPr>
        <w:t xml:space="preserve">pričom sa </w:t>
      </w:r>
      <w:r w:rsidRPr="0051285C">
        <w:rPr>
          <w:sz w:val="20"/>
          <w:szCs w:val="20"/>
        </w:rPr>
        <w:t xml:space="preserve">čoraz naliehavejšie prejavuje nedostatok mladých profesionálnych knihovníkov.  V AK </w:t>
      </w:r>
      <w:r w:rsidR="003C7E2B" w:rsidRPr="0051285C">
        <w:rPr>
          <w:sz w:val="20"/>
          <w:szCs w:val="20"/>
        </w:rPr>
        <w:t>chýbajú mladí absolventi knižničnej a informačnej vedy, ktorí by spĺňali kvalifikačné predpoklady na pracovné pozície súvisiace s novými výzvami v oblasti správy a ochrany digitálnych zbierok, v oblasti informačného vzdelávania, v podpore nových foriem vedeckej komunikácie a požadovanej podpory výučbových procesov prostredníctvom EIZ.</w:t>
      </w:r>
    </w:p>
    <w:p w:rsidR="00B047E8" w:rsidRDefault="00B047E8" w:rsidP="00B047E8">
      <w:pPr>
        <w:spacing w:before="120" w:after="0" w:line="360" w:lineRule="auto"/>
        <w:jc w:val="center"/>
        <w:rPr>
          <w:rFonts w:ascii="Times New Roman" w:hAnsi="Times New Roman"/>
        </w:rPr>
      </w:pPr>
      <w:r w:rsidRPr="00B047E8">
        <w:rPr>
          <w:rFonts w:ascii="Times New Roman" w:hAnsi="Times New Roman"/>
          <w:noProof/>
        </w:rPr>
        <w:drawing>
          <wp:inline distT="0" distB="0" distL="0" distR="0">
            <wp:extent cx="4572000" cy="2743200"/>
            <wp:effectExtent l="19050" t="0" r="19050" b="0"/>
            <wp:docPr id="3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47E8" w:rsidRPr="00111776" w:rsidRDefault="00B047E8" w:rsidP="00B047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Graf 4</w:t>
      </w:r>
      <w:r w:rsidRPr="00111776">
        <w:rPr>
          <w:b/>
          <w:sz w:val="20"/>
          <w:szCs w:val="20"/>
        </w:rPr>
        <w:t>: Fyzickí a virtuálni návštevníci AK</w:t>
      </w:r>
    </w:p>
    <w:p w:rsidR="00662477" w:rsidRPr="0051285C" w:rsidRDefault="003C7E2B" w:rsidP="00546FAB">
      <w:pPr>
        <w:spacing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51285C">
        <w:rPr>
          <w:sz w:val="20"/>
          <w:szCs w:val="20"/>
        </w:rPr>
        <w:lastRenderedPageBreak/>
        <w:t>N</w:t>
      </w:r>
      <w:r w:rsidR="00E82935" w:rsidRPr="0051285C">
        <w:rPr>
          <w:sz w:val="20"/>
          <w:szCs w:val="20"/>
        </w:rPr>
        <w:t xml:space="preserve">a jedného prepočítaného zamestnanca knižnice pripadá </w:t>
      </w:r>
      <w:r w:rsidR="00B047E8" w:rsidRPr="0051285C">
        <w:rPr>
          <w:rFonts w:eastAsia="Times New Roman" w:cs="Times New Roman"/>
          <w:color w:val="000000"/>
          <w:sz w:val="20"/>
          <w:szCs w:val="20"/>
        </w:rPr>
        <w:t xml:space="preserve">327,79 </w:t>
      </w:r>
      <w:r w:rsidR="00E82935" w:rsidRPr="0051285C">
        <w:rPr>
          <w:sz w:val="20"/>
          <w:szCs w:val="20"/>
        </w:rPr>
        <w:t>registrovaných používateľov, oproti roku 201</w:t>
      </w:r>
      <w:r w:rsidRPr="0051285C">
        <w:rPr>
          <w:sz w:val="20"/>
          <w:szCs w:val="20"/>
        </w:rPr>
        <w:t>2</w:t>
      </w:r>
      <w:r w:rsidR="00E82935" w:rsidRPr="0051285C">
        <w:rPr>
          <w:sz w:val="20"/>
          <w:szCs w:val="20"/>
        </w:rPr>
        <w:t xml:space="preserve"> je to </w:t>
      </w:r>
      <w:r w:rsidRPr="0051285C">
        <w:rPr>
          <w:sz w:val="20"/>
          <w:szCs w:val="20"/>
        </w:rPr>
        <w:t xml:space="preserve">síce </w:t>
      </w:r>
      <w:r w:rsidRPr="0051285C">
        <w:rPr>
          <w:b/>
          <w:sz w:val="20"/>
          <w:szCs w:val="20"/>
        </w:rPr>
        <w:t xml:space="preserve">pokles </w:t>
      </w:r>
      <w:r w:rsidR="00E82935" w:rsidRPr="0051285C">
        <w:rPr>
          <w:b/>
          <w:sz w:val="20"/>
          <w:szCs w:val="20"/>
        </w:rPr>
        <w:t>o</w:t>
      </w:r>
      <w:r w:rsidRPr="0051285C">
        <w:rPr>
          <w:b/>
          <w:sz w:val="20"/>
          <w:szCs w:val="20"/>
        </w:rPr>
        <w:t> 69,1</w:t>
      </w:r>
      <w:r w:rsidR="00E82935" w:rsidRPr="0051285C">
        <w:rPr>
          <w:b/>
          <w:sz w:val="20"/>
          <w:szCs w:val="20"/>
        </w:rPr>
        <w:t>1</w:t>
      </w:r>
      <w:r w:rsidRPr="0051285C">
        <w:rPr>
          <w:b/>
          <w:sz w:val="20"/>
          <w:szCs w:val="20"/>
        </w:rPr>
        <w:t xml:space="preserve"> fyzických </w:t>
      </w:r>
      <w:r w:rsidR="00E82935" w:rsidRPr="0051285C">
        <w:rPr>
          <w:b/>
          <w:sz w:val="20"/>
          <w:szCs w:val="20"/>
        </w:rPr>
        <w:t>používateľov</w:t>
      </w:r>
      <w:r w:rsidRPr="0051285C">
        <w:rPr>
          <w:sz w:val="20"/>
          <w:szCs w:val="20"/>
        </w:rPr>
        <w:t xml:space="preserve">, avšak na druhej </w:t>
      </w:r>
      <w:r w:rsidRPr="0051285C">
        <w:rPr>
          <w:b/>
          <w:sz w:val="20"/>
          <w:szCs w:val="20"/>
        </w:rPr>
        <w:t>narástol podiel virtuálnych návštevníkov</w:t>
      </w:r>
      <w:r w:rsidRPr="0051285C">
        <w:rPr>
          <w:sz w:val="20"/>
          <w:szCs w:val="20"/>
        </w:rPr>
        <w:t xml:space="preserve">, </w:t>
      </w:r>
      <w:r w:rsidR="005B1EF1" w:rsidRPr="0051285C">
        <w:rPr>
          <w:sz w:val="20"/>
          <w:szCs w:val="20"/>
        </w:rPr>
        <w:t xml:space="preserve">pri </w:t>
      </w:r>
      <w:r w:rsidRPr="0051285C">
        <w:rPr>
          <w:sz w:val="20"/>
          <w:szCs w:val="20"/>
        </w:rPr>
        <w:t xml:space="preserve">ktorých </w:t>
      </w:r>
      <w:r w:rsidR="005B1EF1" w:rsidRPr="0051285C">
        <w:rPr>
          <w:sz w:val="20"/>
          <w:szCs w:val="20"/>
        </w:rPr>
        <w:t xml:space="preserve">prepočítaný podiel na jedného </w:t>
      </w:r>
      <w:r w:rsidRPr="0051285C">
        <w:rPr>
          <w:sz w:val="20"/>
          <w:szCs w:val="20"/>
        </w:rPr>
        <w:t>knihovník</w:t>
      </w:r>
      <w:r w:rsidR="005B1EF1" w:rsidRPr="0051285C">
        <w:rPr>
          <w:sz w:val="20"/>
          <w:szCs w:val="20"/>
        </w:rPr>
        <w:t xml:space="preserve">a činí </w:t>
      </w:r>
      <w:r w:rsidRPr="0051285C">
        <w:rPr>
          <w:sz w:val="20"/>
          <w:szCs w:val="20"/>
        </w:rPr>
        <w:t xml:space="preserve"> </w:t>
      </w:r>
      <w:r w:rsidRPr="0051285C">
        <w:rPr>
          <w:b/>
          <w:sz w:val="20"/>
          <w:szCs w:val="20"/>
        </w:rPr>
        <w:t>5 537,62</w:t>
      </w:r>
      <w:r w:rsidR="00E82935" w:rsidRPr="0051285C">
        <w:rPr>
          <w:b/>
          <w:sz w:val="20"/>
          <w:szCs w:val="20"/>
        </w:rPr>
        <w:t>.</w:t>
      </w:r>
      <w:r w:rsidR="00E82935" w:rsidRPr="0051285C">
        <w:rPr>
          <w:sz w:val="20"/>
          <w:szCs w:val="20"/>
        </w:rPr>
        <w:t xml:space="preserve"> Stav zamestnancov akademických knižníc sa oproti roku 201</w:t>
      </w:r>
      <w:r w:rsidRPr="0051285C">
        <w:rPr>
          <w:sz w:val="20"/>
          <w:szCs w:val="20"/>
        </w:rPr>
        <w:t>2</w:t>
      </w:r>
      <w:r w:rsidR="00E82935" w:rsidRPr="0051285C">
        <w:rPr>
          <w:sz w:val="20"/>
          <w:szCs w:val="20"/>
        </w:rPr>
        <w:t xml:space="preserve"> </w:t>
      </w:r>
      <w:r w:rsidRPr="0051285C">
        <w:rPr>
          <w:sz w:val="20"/>
          <w:szCs w:val="20"/>
        </w:rPr>
        <w:t xml:space="preserve">takmer </w:t>
      </w:r>
      <w:r w:rsidR="00E82935" w:rsidRPr="0051285C">
        <w:rPr>
          <w:sz w:val="20"/>
          <w:szCs w:val="20"/>
        </w:rPr>
        <w:t>nezmenil (60</w:t>
      </w:r>
      <w:r w:rsidR="00D67629" w:rsidRPr="0051285C">
        <w:rPr>
          <w:sz w:val="20"/>
          <w:szCs w:val="20"/>
        </w:rPr>
        <w:t>8</w:t>
      </w:r>
      <w:r w:rsidR="00E82935" w:rsidRPr="0051285C">
        <w:rPr>
          <w:sz w:val="20"/>
          <w:szCs w:val="20"/>
        </w:rPr>
        <w:t xml:space="preserve"> fyzických osôb/5</w:t>
      </w:r>
      <w:r w:rsidR="00D67629" w:rsidRPr="0051285C">
        <w:rPr>
          <w:sz w:val="20"/>
          <w:szCs w:val="20"/>
        </w:rPr>
        <w:t>59</w:t>
      </w:r>
      <w:r w:rsidR="00E82935" w:rsidRPr="0051285C">
        <w:rPr>
          <w:sz w:val="20"/>
          <w:szCs w:val="20"/>
        </w:rPr>
        <w:t xml:space="preserve"> prepočítaných úväzkov), </w:t>
      </w:r>
      <w:r w:rsidR="00D67629" w:rsidRPr="0051285C">
        <w:rPr>
          <w:sz w:val="20"/>
          <w:szCs w:val="20"/>
        </w:rPr>
        <w:t>ale významne poklesol počet zamestnancov s knihovníckym vzdelaním oproti r. 2012 o 101 osôb. Napriek tomu, že každoročne ukončí atraktívne štúdium z odboru knižničných a informačných vied na 3 VŠ  (UK v Ba, ŽU v Žiline, PU v Prešove) niekoľko desiatok študentov, akademické knižnice ich nelákajú. Dôvodov je zrejme viac, ale podstatnú úlohu v tom zohráva neadekvátne finančné ocenenie: nástupný plat pre absolventa VŠ</w:t>
      </w:r>
      <w:r w:rsidR="00790DD4" w:rsidRPr="0051285C">
        <w:rPr>
          <w:sz w:val="20"/>
          <w:szCs w:val="20"/>
        </w:rPr>
        <w:t xml:space="preserve"> je v rozpätí</w:t>
      </w:r>
      <w:r w:rsidR="00D67629" w:rsidRPr="0051285C">
        <w:rPr>
          <w:sz w:val="20"/>
          <w:szCs w:val="20"/>
        </w:rPr>
        <w:t xml:space="preserve"> </w:t>
      </w:r>
      <w:r w:rsidR="00790DD4" w:rsidRPr="0051285C">
        <w:rPr>
          <w:sz w:val="20"/>
          <w:szCs w:val="20"/>
        </w:rPr>
        <w:t>401,- / 503,50,- EUR</w:t>
      </w:r>
      <w:r w:rsidR="00790DD4" w:rsidRPr="0051285C">
        <w:rPr>
          <w:rStyle w:val="Odkaznapoznmkupodiarou"/>
          <w:sz w:val="20"/>
          <w:szCs w:val="20"/>
        </w:rPr>
        <w:footnoteReference w:id="6"/>
      </w:r>
      <w:r w:rsidR="00790DD4" w:rsidRPr="0051285C">
        <w:rPr>
          <w:sz w:val="20"/>
          <w:szCs w:val="20"/>
        </w:rPr>
        <w:t>.</w:t>
      </w:r>
      <w:r w:rsidR="00F54A4D" w:rsidRPr="0051285C">
        <w:rPr>
          <w:sz w:val="20"/>
          <w:szCs w:val="20"/>
        </w:rPr>
        <w:t xml:space="preserve"> </w:t>
      </w:r>
      <w:r w:rsidR="00C40C47" w:rsidRPr="0051285C">
        <w:rPr>
          <w:sz w:val="20"/>
          <w:szCs w:val="20"/>
        </w:rPr>
        <w:t xml:space="preserve">Pracovníci knižníc </w:t>
      </w:r>
      <w:r w:rsidR="00795E5B" w:rsidRPr="0051285C">
        <w:rPr>
          <w:sz w:val="20"/>
          <w:szCs w:val="20"/>
        </w:rPr>
        <w:t xml:space="preserve">(najmä vo verejných </w:t>
      </w:r>
      <w:r w:rsidR="00937D91" w:rsidRPr="0051285C">
        <w:rPr>
          <w:sz w:val="20"/>
          <w:szCs w:val="20"/>
        </w:rPr>
        <w:t xml:space="preserve">VŠ) </w:t>
      </w:r>
      <w:r w:rsidR="00C40C47" w:rsidRPr="0051285C">
        <w:rPr>
          <w:sz w:val="20"/>
          <w:szCs w:val="20"/>
        </w:rPr>
        <w:t xml:space="preserve">dlhodobo nedosahujú priemerné mzdy v hospodárstve ani vo svojom odvetví hoci  nároky na </w:t>
      </w:r>
      <w:r w:rsidR="00937D91" w:rsidRPr="0051285C">
        <w:rPr>
          <w:sz w:val="20"/>
          <w:szCs w:val="20"/>
        </w:rPr>
        <w:t>n</w:t>
      </w:r>
      <w:r w:rsidR="00C40C47" w:rsidRPr="0051285C">
        <w:rPr>
          <w:sz w:val="20"/>
          <w:szCs w:val="20"/>
        </w:rPr>
        <w:t>ich kladené sa neustále zvyšujú (jazykové znalosti, znalosť najnovších nástrojov IKT, náročnosť sociálnej komunikácie na VŠ</w:t>
      </w:r>
      <w:r w:rsidR="000B610D" w:rsidRPr="0051285C">
        <w:rPr>
          <w:sz w:val="20"/>
          <w:szCs w:val="20"/>
        </w:rPr>
        <w:t xml:space="preserve">,  informačné vzdelávanie používateľov, zabezpečovanie edičnej činnosti vysokej školy </w:t>
      </w:r>
      <w:r w:rsidR="00C40C47" w:rsidRPr="0051285C">
        <w:rPr>
          <w:sz w:val="20"/>
          <w:szCs w:val="20"/>
        </w:rPr>
        <w:t xml:space="preserve"> ai).</w:t>
      </w:r>
      <w:r w:rsidR="000B610D" w:rsidRPr="0051285C">
        <w:rPr>
          <w:sz w:val="20"/>
          <w:szCs w:val="20"/>
        </w:rPr>
        <w:t xml:space="preserve"> </w:t>
      </w:r>
      <w:r w:rsidR="00C40C47" w:rsidRPr="0051285C">
        <w:rPr>
          <w:sz w:val="20"/>
          <w:szCs w:val="20"/>
        </w:rPr>
        <w:t xml:space="preserve"> </w:t>
      </w:r>
      <w:r w:rsidR="000B610D" w:rsidRPr="0051285C">
        <w:rPr>
          <w:sz w:val="20"/>
          <w:szCs w:val="20"/>
        </w:rPr>
        <w:t xml:space="preserve">Z hľadiska mzdových nákladov dosiahla priemerná mzda 659,76 EUR čo je </w:t>
      </w:r>
      <w:r w:rsidR="000B610D" w:rsidRPr="0051285C">
        <w:rPr>
          <w:b/>
          <w:sz w:val="20"/>
          <w:szCs w:val="20"/>
        </w:rPr>
        <w:t xml:space="preserve">len 80,10% </w:t>
      </w:r>
      <w:r w:rsidR="00790DD4" w:rsidRPr="0051285C">
        <w:rPr>
          <w:b/>
          <w:sz w:val="20"/>
          <w:szCs w:val="20"/>
        </w:rPr>
        <w:t xml:space="preserve"> </w:t>
      </w:r>
      <w:r w:rsidR="000B610D" w:rsidRPr="0051285C">
        <w:rPr>
          <w:b/>
          <w:sz w:val="20"/>
          <w:szCs w:val="20"/>
        </w:rPr>
        <w:t>priemernej mzdy</w:t>
      </w:r>
      <w:r w:rsidR="000B610D" w:rsidRPr="0051285C">
        <w:rPr>
          <w:sz w:val="20"/>
          <w:szCs w:val="20"/>
        </w:rPr>
        <w:t xml:space="preserve"> v národnom hospodárstve  r. 2013 (824,- EUR</w:t>
      </w:r>
      <w:r w:rsidR="000B610D" w:rsidRPr="0051285C">
        <w:rPr>
          <w:rStyle w:val="Odkaznapoznmkupodiarou"/>
          <w:sz w:val="20"/>
          <w:szCs w:val="20"/>
        </w:rPr>
        <w:footnoteReference w:id="7"/>
      </w:r>
      <w:r w:rsidR="000B610D" w:rsidRPr="0051285C">
        <w:rPr>
          <w:sz w:val="20"/>
          <w:szCs w:val="20"/>
        </w:rPr>
        <w:t xml:space="preserve">) a oproti r. 2012 </w:t>
      </w:r>
      <w:r w:rsidR="000B610D" w:rsidRPr="0051285C">
        <w:rPr>
          <w:b/>
          <w:i/>
          <w:sz w:val="20"/>
          <w:szCs w:val="20"/>
        </w:rPr>
        <w:t>pokles o 4,08 % bodu</w:t>
      </w:r>
      <w:r w:rsidR="00E82935" w:rsidRPr="0051285C">
        <w:rPr>
          <w:sz w:val="20"/>
          <w:szCs w:val="20"/>
        </w:rPr>
        <w:t xml:space="preserve">. </w:t>
      </w:r>
      <w:r w:rsidR="00C40C47" w:rsidRPr="0051285C">
        <w:rPr>
          <w:sz w:val="20"/>
          <w:szCs w:val="20"/>
        </w:rPr>
        <w:t xml:space="preserve">Ako nie veľmi účinné sa prejavilo rozpočtové opatrenie MF SR č.3/2013, ktorým boli navýšené prostriedky na osobné </w:t>
      </w:r>
      <w:r w:rsidR="00937D91" w:rsidRPr="0051285C">
        <w:rPr>
          <w:sz w:val="20"/>
          <w:szCs w:val="20"/>
        </w:rPr>
        <w:t>výdavky určené pre nepedagogických pracovníkov VVŠ</w:t>
      </w:r>
      <w:r w:rsidR="000B610D" w:rsidRPr="0051285C">
        <w:rPr>
          <w:sz w:val="20"/>
          <w:szCs w:val="20"/>
        </w:rPr>
        <w:t xml:space="preserve">. Pracovníkom knižníc boli počas roka rôznymi formami vyplácané zvýšené osobné </w:t>
      </w:r>
      <w:r w:rsidR="00E82935" w:rsidRPr="0051285C">
        <w:rPr>
          <w:sz w:val="20"/>
          <w:szCs w:val="20"/>
        </w:rPr>
        <w:t>príplatky do výšky 5% tarifného platu</w:t>
      </w:r>
      <w:r w:rsidR="00937D91" w:rsidRPr="0051285C">
        <w:rPr>
          <w:sz w:val="20"/>
          <w:szCs w:val="20"/>
        </w:rPr>
        <w:t>.</w:t>
      </w:r>
    </w:p>
    <w:p w:rsidR="001B56A1" w:rsidRPr="0051285C" w:rsidRDefault="001B56A1">
      <w:pPr>
        <w:rPr>
          <w:b/>
          <w:sz w:val="20"/>
          <w:szCs w:val="20"/>
          <w:u w:val="single"/>
        </w:rPr>
      </w:pPr>
      <w:r w:rsidRPr="0051285C">
        <w:rPr>
          <w:b/>
          <w:sz w:val="20"/>
          <w:szCs w:val="20"/>
          <w:u w:val="single"/>
        </w:rPr>
        <w:t xml:space="preserve">Služby </w:t>
      </w:r>
      <w:r w:rsidR="007E4760" w:rsidRPr="0051285C">
        <w:rPr>
          <w:b/>
          <w:sz w:val="20"/>
          <w:szCs w:val="20"/>
          <w:u w:val="single"/>
        </w:rPr>
        <w:t>akademický knižníc</w:t>
      </w:r>
    </w:p>
    <w:p w:rsidR="00546FAB" w:rsidRPr="0051285C" w:rsidRDefault="00546FAB" w:rsidP="00546FAB">
      <w:pPr>
        <w:spacing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Základnou úlohou akademických knižníc je podpora výučbovej a vedeckej bázy vysokej školy</w:t>
      </w:r>
      <w:r w:rsidR="007E4760" w:rsidRPr="0051285C">
        <w:rPr>
          <w:sz w:val="20"/>
          <w:szCs w:val="20"/>
        </w:rPr>
        <w:t xml:space="preserve">, </w:t>
      </w:r>
      <w:r w:rsidR="00790DD4" w:rsidRPr="0051285C">
        <w:rPr>
          <w:sz w:val="20"/>
          <w:szCs w:val="20"/>
        </w:rPr>
        <w:t xml:space="preserve">čo znamená predovšetkým dopĺňanie, aktualizáciu a sprístupňovanie fondu učebnicovej a odbornej literatúry. </w:t>
      </w:r>
      <w:r w:rsidR="007E4760" w:rsidRPr="0051285C">
        <w:rPr>
          <w:sz w:val="20"/>
          <w:szCs w:val="20"/>
        </w:rPr>
        <w:t xml:space="preserve">V roku 2013 mierne stúpol celkový počet výpožičiek </w:t>
      </w:r>
      <w:r w:rsidR="007E4760" w:rsidRPr="0051285C">
        <w:rPr>
          <w:b/>
          <w:sz w:val="20"/>
          <w:szCs w:val="20"/>
        </w:rPr>
        <w:t>o 52 248</w:t>
      </w:r>
      <w:r w:rsidR="007E4760" w:rsidRPr="0051285C">
        <w:rPr>
          <w:sz w:val="20"/>
          <w:szCs w:val="20"/>
        </w:rPr>
        <w:t xml:space="preserve"> oproti r. 2012</w:t>
      </w:r>
      <w:r w:rsidR="008B6807" w:rsidRPr="0051285C">
        <w:rPr>
          <w:sz w:val="20"/>
          <w:szCs w:val="20"/>
        </w:rPr>
        <w:t xml:space="preserve">; čo sa odrazilo i v prepočítanom počte vypožičaných dokumentov na 1 registrovaného používateľa, ktorý  si v r. 2013 vypožičal </w:t>
      </w:r>
      <w:r w:rsidR="008B6807" w:rsidRPr="0051285C">
        <w:rPr>
          <w:b/>
          <w:sz w:val="20"/>
          <w:szCs w:val="20"/>
        </w:rPr>
        <w:t xml:space="preserve">o 3,48  dokumentov viac </w:t>
      </w:r>
      <w:r w:rsidR="008B6807" w:rsidRPr="0051285C">
        <w:rPr>
          <w:sz w:val="20"/>
          <w:szCs w:val="20"/>
        </w:rPr>
        <w:t>ako v r. 2012.</w:t>
      </w:r>
      <w:r w:rsidR="007E4760" w:rsidRPr="0051285C">
        <w:rPr>
          <w:sz w:val="20"/>
          <w:szCs w:val="20"/>
        </w:rPr>
        <w:t xml:space="preserve"> V záujme objektivity treba podotknúť, že získané štatistické údaje nepredstavujú skutočný objem výpožičných transakcií. Údaje o výpožičkách získavajú knižnice z automatizovaných knižničných systémov s určitými obmedzeniami, nakoľko nie všetky druhy dokumentov (najmä periodiká a záverečné a kvalifikačné práce) a časti KF (príručné knižnice a fondy čiastkových knižníc</w:t>
      </w:r>
      <w:r w:rsidR="00631787" w:rsidRPr="0051285C">
        <w:rPr>
          <w:sz w:val="20"/>
          <w:szCs w:val="20"/>
        </w:rPr>
        <w:t>) sú súčasťou on-line katalógov,</w:t>
      </w:r>
      <w:r w:rsidR="007E4760" w:rsidRPr="0051285C">
        <w:rPr>
          <w:sz w:val="20"/>
          <w:szCs w:val="20"/>
        </w:rPr>
        <w:t xml:space="preserve"> z ktorých sa sťahujú dáta o výpožičkách.  </w:t>
      </w:r>
      <w:r w:rsidR="00584E29" w:rsidRPr="0051285C">
        <w:rPr>
          <w:sz w:val="20"/>
          <w:szCs w:val="20"/>
        </w:rPr>
        <w:t xml:space="preserve">Atraktivita fondov AK sa prejavila i v náraste vybavených požiadaviek v rámci medziknižničnej výpožičnej služby, bolo vybavených o 796 </w:t>
      </w:r>
      <w:r w:rsidR="008B6807" w:rsidRPr="0051285C">
        <w:rPr>
          <w:sz w:val="20"/>
          <w:szCs w:val="20"/>
        </w:rPr>
        <w:t xml:space="preserve">požiadaviek viac oproti r. 2012. </w:t>
      </w:r>
      <w:r w:rsidR="00790DD4" w:rsidRPr="0051285C">
        <w:rPr>
          <w:sz w:val="20"/>
          <w:szCs w:val="20"/>
        </w:rPr>
        <w:t xml:space="preserve">Narastá využívanie </w:t>
      </w:r>
      <w:proofErr w:type="spellStart"/>
      <w:r w:rsidR="00790DD4" w:rsidRPr="0051285C">
        <w:rPr>
          <w:sz w:val="20"/>
          <w:szCs w:val="20"/>
        </w:rPr>
        <w:t>e-dokumentov</w:t>
      </w:r>
      <w:proofErr w:type="spellEnd"/>
      <w:r w:rsidR="00790DD4" w:rsidRPr="0051285C">
        <w:rPr>
          <w:sz w:val="20"/>
          <w:szCs w:val="20"/>
        </w:rPr>
        <w:t>, p</w:t>
      </w:r>
      <w:r w:rsidR="00631787" w:rsidRPr="0051285C">
        <w:rPr>
          <w:sz w:val="20"/>
          <w:szCs w:val="20"/>
        </w:rPr>
        <w:t>oužívatelia veľmi rýchlo zistili výhody spojené s</w:t>
      </w:r>
      <w:r w:rsidR="00790DD4" w:rsidRPr="0051285C">
        <w:rPr>
          <w:sz w:val="20"/>
          <w:szCs w:val="20"/>
        </w:rPr>
        <w:t> ich využívaním</w:t>
      </w:r>
      <w:r w:rsidR="00631787" w:rsidRPr="0051285C">
        <w:rPr>
          <w:sz w:val="20"/>
          <w:szCs w:val="20"/>
        </w:rPr>
        <w:t xml:space="preserve"> ( napr. možnosť stiahnuť si ich na určitý čas do vlastných mobilných zariadení, uložiť príp. vytlačiť si vlastnú kópiu </w:t>
      </w:r>
      <w:r w:rsidR="00631787" w:rsidRPr="00790DD4">
        <w:t xml:space="preserve">dokumentu, jednoduché </w:t>
      </w:r>
      <w:r w:rsidR="00631787" w:rsidRPr="0051285C">
        <w:rPr>
          <w:sz w:val="20"/>
          <w:szCs w:val="20"/>
        </w:rPr>
        <w:t>preberanie informácií z </w:t>
      </w:r>
      <w:proofErr w:type="spellStart"/>
      <w:r w:rsidR="00631787" w:rsidRPr="0051285C">
        <w:rPr>
          <w:sz w:val="20"/>
          <w:szCs w:val="20"/>
        </w:rPr>
        <w:t>e-dokumentov</w:t>
      </w:r>
      <w:proofErr w:type="spellEnd"/>
      <w:r w:rsidR="00631787" w:rsidRPr="0051285C">
        <w:rPr>
          <w:sz w:val="20"/>
          <w:szCs w:val="20"/>
        </w:rPr>
        <w:t xml:space="preserve"> a ich citovanie</w:t>
      </w:r>
      <w:r w:rsidR="00F47F02" w:rsidRPr="0051285C">
        <w:rPr>
          <w:sz w:val="20"/>
          <w:szCs w:val="20"/>
        </w:rPr>
        <w:t xml:space="preserve">). </w:t>
      </w:r>
      <w:r w:rsidR="00A4008C" w:rsidRPr="0051285C">
        <w:rPr>
          <w:sz w:val="20"/>
          <w:szCs w:val="20"/>
        </w:rPr>
        <w:t xml:space="preserve">Z pohľadu štatistického zisťovanie, je však treba doriešiť </w:t>
      </w:r>
      <w:r w:rsidR="00F47F02" w:rsidRPr="0051285C">
        <w:rPr>
          <w:sz w:val="20"/>
          <w:szCs w:val="20"/>
        </w:rPr>
        <w:t xml:space="preserve">podmienky evidovania </w:t>
      </w:r>
      <w:proofErr w:type="spellStart"/>
      <w:r w:rsidR="00F47F02" w:rsidRPr="0051285C">
        <w:rPr>
          <w:sz w:val="20"/>
          <w:szCs w:val="20"/>
        </w:rPr>
        <w:t>e-výpožičiek</w:t>
      </w:r>
      <w:proofErr w:type="spellEnd"/>
      <w:r w:rsidR="00F47F02" w:rsidRPr="0051285C">
        <w:rPr>
          <w:sz w:val="20"/>
          <w:szCs w:val="20"/>
        </w:rPr>
        <w:t xml:space="preserve"> dokumentov, </w:t>
      </w:r>
      <w:r w:rsidR="00A4008C" w:rsidRPr="0051285C">
        <w:rPr>
          <w:sz w:val="20"/>
          <w:szCs w:val="20"/>
        </w:rPr>
        <w:t xml:space="preserve">najmä tých, </w:t>
      </w:r>
      <w:r w:rsidR="00F47F02" w:rsidRPr="0051285C">
        <w:rPr>
          <w:sz w:val="20"/>
          <w:szCs w:val="20"/>
        </w:rPr>
        <w:t>ktoré sa stali súčasťou KF po zaevidovaní a spracovaní v online katalógu. Nie každý knižničný softvér je vybavený na sledovanie vstupov a prácu s </w:t>
      </w:r>
      <w:proofErr w:type="spellStart"/>
      <w:r w:rsidR="00F47F02" w:rsidRPr="0051285C">
        <w:rPr>
          <w:sz w:val="20"/>
          <w:szCs w:val="20"/>
        </w:rPr>
        <w:t>e-dokumentami</w:t>
      </w:r>
      <w:proofErr w:type="spellEnd"/>
      <w:r w:rsidR="00F47F02" w:rsidRPr="0051285C">
        <w:rPr>
          <w:sz w:val="20"/>
          <w:szCs w:val="20"/>
        </w:rPr>
        <w:t>, a nie každá AK si môže dovoliť</w:t>
      </w:r>
      <w:r w:rsidR="00584E29" w:rsidRPr="0051285C">
        <w:rPr>
          <w:sz w:val="20"/>
          <w:szCs w:val="20"/>
        </w:rPr>
        <w:t xml:space="preserve"> zakúpiť niektorý z integrovaných</w:t>
      </w:r>
      <w:r w:rsidR="00584E29">
        <w:t xml:space="preserve"> </w:t>
      </w:r>
      <w:r w:rsidR="00584E29" w:rsidRPr="0051285C">
        <w:rPr>
          <w:sz w:val="20"/>
          <w:szCs w:val="20"/>
        </w:rPr>
        <w:t>vyhľadávacích nástrojov napr.</w:t>
      </w:r>
      <w:r w:rsidR="00584E29">
        <w:t xml:space="preserve"> </w:t>
      </w:r>
      <w:proofErr w:type="spellStart"/>
      <w:r w:rsidR="00584E29" w:rsidRPr="0051285C">
        <w:rPr>
          <w:sz w:val="20"/>
          <w:szCs w:val="20"/>
        </w:rPr>
        <w:t>Summon</w:t>
      </w:r>
      <w:proofErr w:type="spellEnd"/>
      <w:r w:rsidR="00584E29" w:rsidRPr="0051285C">
        <w:rPr>
          <w:sz w:val="20"/>
          <w:szCs w:val="20"/>
        </w:rPr>
        <w:t xml:space="preserve"> </w:t>
      </w:r>
      <w:proofErr w:type="spellStart"/>
      <w:r w:rsidR="00584E29" w:rsidRPr="0051285C">
        <w:rPr>
          <w:sz w:val="20"/>
          <w:szCs w:val="20"/>
        </w:rPr>
        <w:t>Discovery</w:t>
      </w:r>
      <w:proofErr w:type="spellEnd"/>
      <w:r w:rsidR="00584E29" w:rsidRPr="0051285C">
        <w:rPr>
          <w:sz w:val="20"/>
          <w:szCs w:val="20"/>
        </w:rPr>
        <w:t xml:space="preserve"> </w:t>
      </w:r>
      <w:proofErr w:type="spellStart"/>
      <w:r w:rsidR="00584E29" w:rsidRPr="0051285C">
        <w:rPr>
          <w:sz w:val="20"/>
          <w:szCs w:val="20"/>
        </w:rPr>
        <w:t>Tool</w:t>
      </w:r>
      <w:proofErr w:type="spellEnd"/>
      <w:r w:rsidR="00584E29" w:rsidRPr="0051285C">
        <w:rPr>
          <w:sz w:val="20"/>
          <w:szCs w:val="20"/>
        </w:rPr>
        <w:t xml:space="preserve">, alebo </w:t>
      </w:r>
      <w:proofErr w:type="spellStart"/>
      <w:r w:rsidR="00584E29" w:rsidRPr="0051285C">
        <w:rPr>
          <w:sz w:val="20"/>
          <w:szCs w:val="20"/>
        </w:rPr>
        <w:t>Metalib</w:t>
      </w:r>
      <w:proofErr w:type="spellEnd"/>
      <w:r w:rsidR="00584E29" w:rsidRPr="0051285C">
        <w:rPr>
          <w:sz w:val="20"/>
          <w:szCs w:val="20"/>
        </w:rPr>
        <w:t>). T</w:t>
      </w:r>
      <w:r w:rsidR="00790DD4" w:rsidRPr="0051285C">
        <w:rPr>
          <w:sz w:val="20"/>
          <w:szCs w:val="20"/>
        </w:rPr>
        <w:t>á</w:t>
      </w:r>
      <w:r w:rsidR="00584E29" w:rsidRPr="0051285C">
        <w:rPr>
          <w:sz w:val="20"/>
          <w:szCs w:val="20"/>
        </w:rPr>
        <w:t>to problematik</w:t>
      </w:r>
      <w:r w:rsidR="00790DD4" w:rsidRPr="0051285C">
        <w:rPr>
          <w:sz w:val="20"/>
          <w:szCs w:val="20"/>
        </w:rPr>
        <w:t>a</w:t>
      </w:r>
      <w:r w:rsidR="00584E29" w:rsidRPr="0051285C">
        <w:rPr>
          <w:sz w:val="20"/>
          <w:szCs w:val="20"/>
        </w:rPr>
        <w:t xml:space="preserve"> bude zaraden</w:t>
      </w:r>
      <w:r w:rsidR="00790DD4" w:rsidRPr="0051285C">
        <w:rPr>
          <w:sz w:val="20"/>
          <w:szCs w:val="20"/>
        </w:rPr>
        <w:t>á</w:t>
      </w:r>
      <w:r w:rsidR="00584E29" w:rsidRPr="0051285C">
        <w:rPr>
          <w:sz w:val="20"/>
          <w:szCs w:val="20"/>
        </w:rPr>
        <w:t xml:space="preserve"> do programu niektorého zo seminárov AK, ktoré pripravuje každoročne úsek metodiky AK SPK.</w:t>
      </w:r>
    </w:p>
    <w:p w:rsidR="001B56A1" w:rsidRPr="00111776" w:rsidRDefault="001B56A1" w:rsidP="00ED6708">
      <w:pPr>
        <w:pStyle w:val="Popis"/>
        <w:keepNext/>
        <w:jc w:val="center"/>
        <w:rPr>
          <w:rFonts w:asciiTheme="minorHAnsi" w:hAnsiTheme="minorHAnsi"/>
        </w:rPr>
      </w:pPr>
      <w:r w:rsidRPr="00111776">
        <w:rPr>
          <w:rFonts w:asciiTheme="minorHAnsi" w:hAnsiTheme="minorHAnsi"/>
        </w:rPr>
        <w:lastRenderedPageBreak/>
        <w:t xml:space="preserve">Tabuľka </w:t>
      </w:r>
      <w:r w:rsidR="00D906DF" w:rsidRPr="00111776">
        <w:rPr>
          <w:rFonts w:asciiTheme="minorHAnsi" w:hAnsiTheme="minorHAnsi"/>
        </w:rPr>
        <w:fldChar w:fldCharType="begin"/>
      </w:r>
      <w:r w:rsidR="000B63D7" w:rsidRPr="00111776">
        <w:rPr>
          <w:rFonts w:asciiTheme="minorHAnsi" w:hAnsiTheme="minorHAnsi"/>
        </w:rPr>
        <w:instrText xml:space="preserve"> SEQ Tabuľka \* ARABIC </w:instrText>
      </w:r>
      <w:r w:rsidR="00D906DF" w:rsidRPr="00111776">
        <w:rPr>
          <w:rFonts w:asciiTheme="minorHAnsi" w:hAnsiTheme="minorHAnsi"/>
        </w:rPr>
        <w:fldChar w:fldCharType="separate"/>
      </w:r>
      <w:r w:rsidR="00243109" w:rsidRPr="00111776">
        <w:rPr>
          <w:rFonts w:asciiTheme="minorHAnsi" w:hAnsiTheme="minorHAnsi"/>
          <w:noProof/>
        </w:rPr>
        <w:t>5</w:t>
      </w:r>
      <w:r w:rsidR="00D906DF" w:rsidRPr="00111776">
        <w:rPr>
          <w:rFonts w:asciiTheme="minorHAnsi" w:hAnsiTheme="minorHAnsi"/>
        </w:rPr>
        <w:fldChar w:fldCharType="end"/>
      </w:r>
      <w:r w:rsidRPr="00111776">
        <w:rPr>
          <w:rFonts w:asciiTheme="minorHAnsi" w:hAnsiTheme="minorHAnsi"/>
        </w:rPr>
        <w:t>: Výpožičky v akademických knižniciach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1269"/>
        <w:gridCol w:w="1021"/>
        <w:gridCol w:w="1295"/>
        <w:gridCol w:w="1269"/>
        <w:gridCol w:w="1269"/>
      </w:tblGrid>
      <w:tr w:rsidR="001B56A1" w:rsidRPr="00111776" w:rsidTr="00C07033">
        <w:trPr>
          <w:jc w:val="center"/>
        </w:trPr>
        <w:tc>
          <w:tcPr>
            <w:tcW w:w="0" w:type="auto"/>
          </w:tcPr>
          <w:p w:rsidR="001B56A1" w:rsidRPr="00111776" w:rsidRDefault="001B56A1" w:rsidP="00C07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Verejné VŠ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Štátne VŠ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Súkromné VŠ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r.2012 </w:t>
            </w:r>
          </w:p>
        </w:tc>
        <w:tc>
          <w:tcPr>
            <w:tcW w:w="0" w:type="auto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r. 2013</w:t>
            </w:r>
          </w:p>
        </w:tc>
      </w:tr>
      <w:tr w:rsidR="001B56A1" w:rsidRPr="00111776" w:rsidTr="00C07033">
        <w:trPr>
          <w:jc w:val="center"/>
        </w:trPr>
        <w:tc>
          <w:tcPr>
            <w:tcW w:w="0" w:type="auto"/>
          </w:tcPr>
          <w:p w:rsidR="001B56A1" w:rsidRPr="00111776" w:rsidRDefault="001B56A1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Počet výpožičiek spolu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2 943 219,00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73 616,00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77 614,00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3 042 201,00</w:t>
            </w:r>
          </w:p>
        </w:tc>
        <w:tc>
          <w:tcPr>
            <w:tcW w:w="0" w:type="auto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3 094 449,00</w:t>
            </w:r>
          </w:p>
        </w:tc>
      </w:tr>
      <w:tr w:rsidR="001B56A1" w:rsidRPr="00111776" w:rsidTr="00C07033">
        <w:trPr>
          <w:jc w:val="center"/>
        </w:trPr>
        <w:tc>
          <w:tcPr>
            <w:tcW w:w="0" w:type="auto"/>
          </w:tcPr>
          <w:p w:rsidR="001B56A1" w:rsidRPr="00111776" w:rsidRDefault="001B56A1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knižnicu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113 200,73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24538,66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7055,81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76 055,02</w:t>
            </w:r>
          </w:p>
        </w:tc>
        <w:tc>
          <w:tcPr>
            <w:tcW w:w="0" w:type="auto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77 361,23</w:t>
            </w:r>
          </w:p>
        </w:tc>
      </w:tr>
      <w:tr w:rsidR="001B56A1" w:rsidRPr="00111776" w:rsidTr="00C07033">
        <w:trPr>
          <w:jc w:val="center"/>
        </w:trPr>
        <w:tc>
          <w:tcPr>
            <w:tcW w:w="0" w:type="auto"/>
          </w:tcPr>
          <w:p w:rsidR="001B56A1" w:rsidRPr="00111776" w:rsidRDefault="001B56A1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reg. používateľa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18,17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6,55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7,73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13,40</w:t>
            </w:r>
          </w:p>
        </w:tc>
        <w:tc>
          <w:tcPr>
            <w:tcW w:w="0" w:type="auto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16,88</w:t>
            </w:r>
          </w:p>
        </w:tc>
      </w:tr>
      <w:tr w:rsidR="001B56A1" w:rsidRPr="00111776" w:rsidTr="00C07033">
        <w:trPr>
          <w:jc w:val="center"/>
        </w:trPr>
        <w:tc>
          <w:tcPr>
            <w:tcW w:w="0" w:type="auto"/>
          </w:tcPr>
          <w:p w:rsidR="001B56A1" w:rsidRPr="00111776" w:rsidRDefault="001B56A1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Prezenčné výpožičky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1 451 132,00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16 553,00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26 712,00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1 611 065,00</w:t>
            </w:r>
          </w:p>
        </w:tc>
        <w:tc>
          <w:tcPr>
            <w:tcW w:w="0" w:type="auto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1 494 397,00</w:t>
            </w:r>
          </w:p>
        </w:tc>
      </w:tr>
      <w:tr w:rsidR="001B56A1" w:rsidRPr="00111776" w:rsidTr="00C07033">
        <w:trPr>
          <w:jc w:val="center"/>
        </w:trPr>
        <w:tc>
          <w:tcPr>
            <w:tcW w:w="0" w:type="auto"/>
          </w:tcPr>
          <w:p w:rsidR="001B56A1" w:rsidRPr="00111776" w:rsidRDefault="001B56A1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Absenčné výpožičky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1 492 087,00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57 063,00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50 902,00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1 431 136,00</w:t>
            </w:r>
          </w:p>
        </w:tc>
        <w:tc>
          <w:tcPr>
            <w:tcW w:w="0" w:type="auto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1 600 052,00</w:t>
            </w:r>
          </w:p>
        </w:tc>
      </w:tr>
      <w:tr w:rsidR="001B56A1" w:rsidRPr="00111776" w:rsidTr="00C07033">
        <w:trPr>
          <w:jc w:val="center"/>
        </w:trPr>
        <w:tc>
          <w:tcPr>
            <w:tcW w:w="0" w:type="auto"/>
          </w:tcPr>
          <w:p w:rsidR="001B56A1" w:rsidRPr="00111776" w:rsidRDefault="001B56A1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MVS iným knižniciam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3 534,00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1 200,00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3 951,00</w:t>
            </w:r>
          </w:p>
        </w:tc>
        <w:tc>
          <w:tcPr>
            <w:tcW w:w="0" w:type="auto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4 747,00</w:t>
            </w:r>
          </w:p>
        </w:tc>
      </w:tr>
      <w:tr w:rsidR="001B56A1" w:rsidRPr="00111776" w:rsidTr="00C07033">
        <w:trPr>
          <w:jc w:val="center"/>
        </w:trPr>
        <w:tc>
          <w:tcPr>
            <w:tcW w:w="0" w:type="auto"/>
          </w:tcPr>
          <w:p w:rsidR="001B56A1" w:rsidRPr="00111776" w:rsidRDefault="001B56A1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MVS z iných knižníc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6 737,00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176,00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7 447,00</w:t>
            </w:r>
          </w:p>
        </w:tc>
        <w:tc>
          <w:tcPr>
            <w:tcW w:w="0" w:type="auto"/>
          </w:tcPr>
          <w:p w:rsidR="001B56A1" w:rsidRPr="00111776" w:rsidRDefault="001B56A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6 938,00</w:t>
            </w:r>
          </w:p>
        </w:tc>
      </w:tr>
    </w:tbl>
    <w:p w:rsidR="00ED6708" w:rsidRDefault="00ED6708">
      <w:pPr>
        <w:rPr>
          <w:sz w:val="20"/>
          <w:szCs w:val="20"/>
        </w:rPr>
      </w:pPr>
    </w:p>
    <w:p w:rsidR="003B6A6B" w:rsidRPr="0051285C" w:rsidRDefault="007A12C6" w:rsidP="00A4008C">
      <w:pPr>
        <w:spacing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Všetky AK (40) využívali v r. 2013 niektorý z evidovaných knižnično-informačných systémov, v rámci ktorých sa vytvárajú dve najsledovanejšie databázy  a síce</w:t>
      </w:r>
      <w:r w:rsidR="008B6807" w:rsidRPr="0051285C">
        <w:rPr>
          <w:sz w:val="20"/>
          <w:szCs w:val="20"/>
        </w:rPr>
        <w:t xml:space="preserve"> </w:t>
      </w:r>
      <w:r w:rsidR="008B6807" w:rsidRPr="0051285C">
        <w:rPr>
          <w:b/>
          <w:sz w:val="20"/>
          <w:szCs w:val="20"/>
        </w:rPr>
        <w:t>on-line katalóg</w:t>
      </w:r>
      <w:r w:rsidR="008B6807" w:rsidRPr="0051285C">
        <w:rPr>
          <w:sz w:val="20"/>
          <w:szCs w:val="20"/>
        </w:rPr>
        <w:t xml:space="preserve"> a </w:t>
      </w:r>
      <w:r w:rsidR="008B6807" w:rsidRPr="0051285C">
        <w:rPr>
          <w:b/>
          <w:sz w:val="20"/>
          <w:szCs w:val="20"/>
        </w:rPr>
        <w:t>bázu evidencie publikačnej činnosti (EPČ)</w:t>
      </w:r>
      <w:r w:rsidRPr="0051285C">
        <w:rPr>
          <w:b/>
          <w:sz w:val="20"/>
          <w:szCs w:val="20"/>
        </w:rPr>
        <w:t>.</w:t>
      </w:r>
      <w:r w:rsidR="00A4008C" w:rsidRPr="0051285C">
        <w:rPr>
          <w:b/>
          <w:sz w:val="20"/>
          <w:szCs w:val="20"/>
        </w:rPr>
        <w:t xml:space="preserve">  </w:t>
      </w:r>
      <w:r w:rsidR="003B6A6B" w:rsidRPr="0051285C">
        <w:rPr>
          <w:sz w:val="20"/>
          <w:szCs w:val="20"/>
        </w:rPr>
        <w:t xml:space="preserve">Prevaha elektronických informačných zdrojov, jednoduchý prístup k internetu spolu s možnosťou využívať služby knižníc on-line bez potreby fyzickej návštevy boli motiváciou pre zavedenie tzv. elektronických referenčných služieb, ktoré sa definujú ako vybavovanie používateľských požiadaviek elektronickými prostriedkami v reálnom čase (ICQ, Skype, IP telefón) alebo s časovým posunom (Spýtajte sa knižnice, Objednaj si knihovníka, Napíšte nám alebo   prostredníctvom rôznych elektronických formulárov) kedy dostane používateľ odpoveď najneskôr do 48 hodín. K špeciálnym typom takýchto služieb patria FAQ, ktoré funguje ako archív často kladených otázok a používateľ si môže odpovede zistiť sám (graf č. 5.). </w:t>
      </w:r>
    </w:p>
    <w:p w:rsidR="00ED6708" w:rsidRPr="00111776" w:rsidRDefault="00ED6708">
      <w:pPr>
        <w:rPr>
          <w:sz w:val="20"/>
          <w:szCs w:val="20"/>
        </w:rPr>
      </w:pPr>
    </w:p>
    <w:p w:rsidR="001B56A1" w:rsidRPr="00111776" w:rsidRDefault="001B56A1" w:rsidP="00C030E2">
      <w:pPr>
        <w:jc w:val="center"/>
        <w:rPr>
          <w:sz w:val="20"/>
          <w:szCs w:val="20"/>
        </w:rPr>
      </w:pPr>
      <w:r w:rsidRPr="00111776">
        <w:rPr>
          <w:noProof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6708" w:rsidRPr="00111776" w:rsidRDefault="00ED6708" w:rsidP="00C030E2">
      <w:pPr>
        <w:jc w:val="center"/>
        <w:rPr>
          <w:b/>
          <w:sz w:val="20"/>
          <w:szCs w:val="20"/>
        </w:rPr>
      </w:pPr>
      <w:r w:rsidRPr="00111776">
        <w:rPr>
          <w:b/>
          <w:sz w:val="20"/>
          <w:szCs w:val="20"/>
        </w:rPr>
        <w:t>Graf 5: elektronické referenčné služby AK</w:t>
      </w:r>
    </w:p>
    <w:p w:rsidR="001B56A1" w:rsidRPr="0051285C" w:rsidRDefault="00ED6708" w:rsidP="000B4486">
      <w:pPr>
        <w:spacing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lastRenderedPageBreak/>
        <w:t xml:space="preserve">Knižnice sa snažia podporovať návštevnosť nielen </w:t>
      </w:r>
      <w:r w:rsidR="007A12C6" w:rsidRPr="0051285C">
        <w:rPr>
          <w:sz w:val="20"/>
          <w:szCs w:val="20"/>
        </w:rPr>
        <w:t xml:space="preserve">rozširovaním ponuky </w:t>
      </w:r>
      <w:r w:rsidRPr="0051285C">
        <w:rPr>
          <w:sz w:val="20"/>
          <w:szCs w:val="20"/>
        </w:rPr>
        <w:t>nových on</w:t>
      </w:r>
      <w:r w:rsidR="000B4486" w:rsidRPr="0051285C">
        <w:rPr>
          <w:sz w:val="20"/>
          <w:szCs w:val="20"/>
        </w:rPr>
        <w:t>-</w:t>
      </w:r>
      <w:r w:rsidRPr="0051285C">
        <w:rPr>
          <w:sz w:val="20"/>
          <w:szCs w:val="20"/>
        </w:rPr>
        <w:t xml:space="preserve">line služieb, ale aj zavádzaním moderných zariadení podporujúcich tzv. samoobslužné funkcie v knižnici napr. kúpou tzv. </w:t>
      </w:r>
      <w:proofErr w:type="spellStart"/>
      <w:r w:rsidRPr="0051285C">
        <w:rPr>
          <w:i/>
          <w:sz w:val="20"/>
          <w:szCs w:val="20"/>
        </w:rPr>
        <w:t>biblioboxov</w:t>
      </w:r>
      <w:proofErr w:type="spellEnd"/>
      <w:r w:rsidRPr="0051285C">
        <w:rPr>
          <w:sz w:val="20"/>
          <w:szCs w:val="20"/>
        </w:rPr>
        <w:t>, čo je  zariadenie na vracanie kníh v čase, keď je knižnica pre používateľov neprístupná, prípadne z miesta vzdialeného od knižnice.</w:t>
      </w:r>
      <w:r w:rsidR="00D443B7" w:rsidRPr="0051285C">
        <w:rPr>
          <w:sz w:val="20"/>
          <w:szCs w:val="20"/>
        </w:rPr>
        <w:t xml:space="preserve"> Dostupnosť zariadenia je v populárnom režime 24/7. Predlžuje sa tým prevádzková doba AK, ktorá v r. 2013 dosiahla priemerne </w:t>
      </w:r>
      <w:r w:rsidR="00D443B7" w:rsidRPr="0051285C">
        <w:rPr>
          <w:b/>
          <w:sz w:val="20"/>
          <w:szCs w:val="20"/>
        </w:rPr>
        <w:t>43,48 h týždenne.</w:t>
      </w:r>
      <w:r w:rsidR="00D443B7" w:rsidRPr="0051285C">
        <w:rPr>
          <w:sz w:val="20"/>
          <w:szCs w:val="20"/>
        </w:rPr>
        <w:t xml:space="preserve"> </w:t>
      </w:r>
      <w:r w:rsidRPr="0051285C">
        <w:rPr>
          <w:sz w:val="20"/>
          <w:szCs w:val="20"/>
        </w:rPr>
        <w:t xml:space="preserve"> </w:t>
      </w:r>
      <w:r w:rsidR="000B4486" w:rsidRPr="0051285C">
        <w:rPr>
          <w:sz w:val="20"/>
          <w:szCs w:val="20"/>
        </w:rPr>
        <w:t xml:space="preserve">Zlepšila sa dostupnosť internetu pomocou bezdrôtového </w:t>
      </w:r>
      <w:proofErr w:type="spellStart"/>
      <w:r w:rsidR="000B4486" w:rsidRPr="0051285C">
        <w:rPr>
          <w:sz w:val="20"/>
          <w:szCs w:val="20"/>
        </w:rPr>
        <w:t>wifi</w:t>
      </w:r>
      <w:proofErr w:type="spellEnd"/>
      <w:r w:rsidR="000B4486" w:rsidRPr="0051285C">
        <w:rPr>
          <w:sz w:val="20"/>
          <w:szCs w:val="20"/>
        </w:rPr>
        <w:t xml:space="preserve"> pripojenia, čo využívajú používatelia s vlastným notebookom, príp. s iným mobilným zariadením (tablety, </w:t>
      </w:r>
      <w:proofErr w:type="spellStart"/>
      <w:r w:rsidR="000B4486" w:rsidRPr="0051285C">
        <w:rPr>
          <w:sz w:val="20"/>
          <w:szCs w:val="20"/>
        </w:rPr>
        <w:t>smartfóny</w:t>
      </w:r>
      <w:proofErr w:type="spellEnd"/>
      <w:r w:rsidR="000B4486" w:rsidRPr="0051285C">
        <w:rPr>
          <w:sz w:val="20"/>
          <w:szCs w:val="20"/>
        </w:rPr>
        <w:t xml:space="preserve">, </w:t>
      </w:r>
      <w:proofErr w:type="spellStart"/>
      <w:r w:rsidR="000B4486" w:rsidRPr="0051285C">
        <w:rPr>
          <w:sz w:val="20"/>
          <w:szCs w:val="20"/>
        </w:rPr>
        <w:t>e-čítačky</w:t>
      </w:r>
      <w:proofErr w:type="spellEnd"/>
      <w:r w:rsidR="000B4486" w:rsidRPr="0051285C">
        <w:rPr>
          <w:sz w:val="20"/>
          <w:szCs w:val="20"/>
        </w:rPr>
        <w:t xml:space="preserve"> a pod.)</w:t>
      </w:r>
      <w:r w:rsidR="00A76F8E" w:rsidRPr="0051285C">
        <w:rPr>
          <w:sz w:val="20"/>
          <w:szCs w:val="20"/>
        </w:rPr>
        <w:t xml:space="preserve">. Stúpajúci trend má aj poskytovanie vzdialeného prístupu k EIZ. Táto služba umožňuje registrovaným používateľom využívať IZ zo svojho vlastného počítača a v čase ktorý im najviac vyhovuje. Potešiteľné je, že stúpa záujem o tento spôsob využívania zdrojov aj u študentov denného štúdia, najmä z dôvodu písania záverečných prác. </w:t>
      </w:r>
    </w:p>
    <w:p w:rsidR="00237300" w:rsidRPr="00111776" w:rsidRDefault="00237300" w:rsidP="00F51AC9">
      <w:pPr>
        <w:pStyle w:val="Popis"/>
        <w:keepNext/>
        <w:jc w:val="center"/>
        <w:rPr>
          <w:rFonts w:asciiTheme="minorHAnsi" w:hAnsiTheme="minorHAnsi"/>
        </w:rPr>
      </w:pPr>
      <w:r w:rsidRPr="00111776">
        <w:rPr>
          <w:rFonts w:asciiTheme="minorHAnsi" w:hAnsiTheme="minorHAnsi"/>
        </w:rPr>
        <w:t xml:space="preserve">Tabuľka </w:t>
      </w:r>
      <w:r w:rsidR="00D906DF" w:rsidRPr="00111776">
        <w:rPr>
          <w:rFonts w:asciiTheme="minorHAnsi" w:hAnsiTheme="minorHAnsi"/>
        </w:rPr>
        <w:fldChar w:fldCharType="begin"/>
      </w:r>
      <w:r w:rsidR="000B63D7" w:rsidRPr="00111776">
        <w:rPr>
          <w:rFonts w:asciiTheme="minorHAnsi" w:hAnsiTheme="minorHAnsi"/>
        </w:rPr>
        <w:instrText xml:space="preserve"> SEQ Tabuľka \* ARABIC </w:instrText>
      </w:r>
      <w:r w:rsidR="00D906DF" w:rsidRPr="00111776">
        <w:rPr>
          <w:rFonts w:asciiTheme="minorHAnsi" w:hAnsiTheme="minorHAnsi"/>
        </w:rPr>
        <w:fldChar w:fldCharType="separate"/>
      </w:r>
      <w:r w:rsidR="00243109" w:rsidRPr="00111776">
        <w:rPr>
          <w:rFonts w:asciiTheme="minorHAnsi" w:hAnsiTheme="minorHAnsi"/>
          <w:noProof/>
        </w:rPr>
        <w:t>6</w:t>
      </w:r>
      <w:r w:rsidR="00D906DF" w:rsidRPr="00111776">
        <w:rPr>
          <w:rFonts w:asciiTheme="minorHAnsi" w:hAnsiTheme="minorHAnsi"/>
        </w:rPr>
        <w:fldChar w:fldCharType="end"/>
      </w:r>
      <w:r w:rsidRPr="00111776">
        <w:rPr>
          <w:rFonts w:asciiTheme="minorHAnsi" w:hAnsiTheme="minorHAnsi"/>
        </w:rPr>
        <w:t>: Informačné technológie v AK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1190"/>
        <w:gridCol w:w="1071"/>
        <w:gridCol w:w="1295"/>
        <w:gridCol w:w="1007"/>
      </w:tblGrid>
      <w:tr w:rsidR="00237300" w:rsidRPr="00111776" w:rsidTr="00C07033">
        <w:trPr>
          <w:jc w:val="center"/>
        </w:trPr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Verejné VŠ</w:t>
            </w:r>
          </w:p>
        </w:tc>
        <w:tc>
          <w:tcPr>
            <w:tcW w:w="1071" w:type="dxa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Štátne VŠ</w:t>
            </w:r>
          </w:p>
        </w:tc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Súkromné VŠ </w:t>
            </w:r>
          </w:p>
        </w:tc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Všetky VŠ</w:t>
            </w:r>
          </w:p>
        </w:tc>
      </w:tr>
      <w:tr w:rsidR="00237300" w:rsidRPr="00111776" w:rsidTr="00C07033">
        <w:trPr>
          <w:jc w:val="center"/>
        </w:trPr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Automatizovaný knižnično-informačný systém</w:t>
            </w:r>
          </w:p>
        </w:tc>
        <w:tc>
          <w:tcPr>
            <w:tcW w:w="1190" w:type="dxa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26</w:t>
            </w:r>
          </w:p>
        </w:tc>
        <w:tc>
          <w:tcPr>
            <w:tcW w:w="1071" w:type="dxa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37300" w:rsidRPr="00111776" w:rsidRDefault="008B6807" w:rsidP="008B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37300" w:rsidRPr="00111776" w:rsidTr="00C07033">
        <w:trPr>
          <w:jc w:val="center"/>
        </w:trPr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On-line katalóg na webe </w:t>
            </w:r>
          </w:p>
        </w:tc>
        <w:tc>
          <w:tcPr>
            <w:tcW w:w="1190" w:type="dxa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26</w:t>
            </w:r>
          </w:p>
        </w:tc>
        <w:tc>
          <w:tcPr>
            <w:tcW w:w="1071" w:type="dxa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37</w:t>
            </w:r>
          </w:p>
        </w:tc>
      </w:tr>
      <w:tr w:rsidR="00237300" w:rsidRPr="00111776" w:rsidTr="00C07033">
        <w:trPr>
          <w:jc w:val="center"/>
        </w:trPr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Webová stránka knižnice</w:t>
            </w:r>
          </w:p>
        </w:tc>
        <w:tc>
          <w:tcPr>
            <w:tcW w:w="1190" w:type="dxa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26</w:t>
            </w:r>
          </w:p>
        </w:tc>
        <w:tc>
          <w:tcPr>
            <w:tcW w:w="1071" w:type="dxa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37300" w:rsidRPr="00111776" w:rsidRDefault="00143712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38</w:t>
            </w:r>
          </w:p>
        </w:tc>
      </w:tr>
      <w:tr w:rsidR="00237300" w:rsidRPr="00111776" w:rsidTr="00C07033">
        <w:trPr>
          <w:jc w:val="center"/>
        </w:trPr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Prepočítaný počet budovaných DB na 1 AK</w:t>
            </w:r>
          </w:p>
        </w:tc>
        <w:tc>
          <w:tcPr>
            <w:tcW w:w="1190" w:type="dxa"/>
          </w:tcPr>
          <w:p w:rsidR="00237300" w:rsidRPr="00111776" w:rsidRDefault="00237300" w:rsidP="00237300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2,80</w:t>
            </w:r>
          </w:p>
        </w:tc>
        <w:tc>
          <w:tcPr>
            <w:tcW w:w="1071" w:type="dxa"/>
          </w:tcPr>
          <w:p w:rsidR="00237300" w:rsidRPr="00111776" w:rsidRDefault="00237300" w:rsidP="00237300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1,66</w:t>
            </w:r>
          </w:p>
        </w:tc>
        <w:tc>
          <w:tcPr>
            <w:tcW w:w="0" w:type="auto"/>
          </w:tcPr>
          <w:p w:rsidR="00237300" w:rsidRPr="00111776" w:rsidRDefault="00237300" w:rsidP="00237300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1,09</w:t>
            </w:r>
          </w:p>
        </w:tc>
        <w:tc>
          <w:tcPr>
            <w:tcW w:w="0" w:type="auto"/>
          </w:tcPr>
          <w:p w:rsidR="00237300" w:rsidRPr="00111776" w:rsidRDefault="00237300" w:rsidP="00237300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2,25</w:t>
            </w:r>
          </w:p>
        </w:tc>
      </w:tr>
      <w:tr w:rsidR="00237300" w:rsidRPr="00111776" w:rsidTr="00C07033">
        <w:trPr>
          <w:jc w:val="center"/>
        </w:trPr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proofErr w:type="spellStart"/>
            <w:r w:rsidRPr="00111776">
              <w:rPr>
                <w:sz w:val="20"/>
                <w:szCs w:val="20"/>
              </w:rPr>
              <w:t>WiFi</w:t>
            </w:r>
            <w:proofErr w:type="spellEnd"/>
            <w:r w:rsidRPr="00111776">
              <w:rPr>
                <w:sz w:val="20"/>
                <w:szCs w:val="20"/>
              </w:rPr>
              <w:t xml:space="preserve"> pripojenie</w:t>
            </w:r>
          </w:p>
        </w:tc>
        <w:tc>
          <w:tcPr>
            <w:tcW w:w="1190" w:type="dxa"/>
          </w:tcPr>
          <w:p w:rsidR="00237300" w:rsidRPr="00111776" w:rsidRDefault="00237300" w:rsidP="00237300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24</w:t>
            </w:r>
          </w:p>
        </w:tc>
        <w:tc>
          <w:tcPr>
            <w:tcW w:w="1071" w:type="dxa"/>
          </w:tcPr>
          <w:p w:rsidR="00237300" w:rsidRPr="00111776" w:rsidRDefault="00237300" w:rsidP="00237300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37300" w:rsidRPr="00111776" w:rsidRDefault="00A76F8E" w:rsidP="00C0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37300" w:rsidRPr="00111776" w:rsidTr="00C07033">
        <w:trPr>
          <w:jc w:val="center"/>
        </w:trPr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Vzdialený prístup k licencovaným </w:t>
            </w:r>
            <w:proofErr w:type="spellStart"/>
            <w:r w:rsidRPr="00111776">
              <w:rPr>
                <w:sz w:val="20"/>
                <w:szCs w:val="20"/>
              </w:rPr>
              <w:t>e-zdrojom</w:t>
            </w:r>
            <w:proofErr w:type="spellEnd"/>
          </w:p>
        </w:tc>
        <w:tc>
          <w:tcPr>
            <w:tcW w:w="1190" w:type="dxa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37300" w:rsidRPr="00111776" w:rsidRDefault="00237300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37300" w:rsidRPr="00111776" w:rsidRDefault="00143712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23</w:t>
            </w:r>
          </w:p>
        </w:tc>
      </w:tr>
    </w:tbl>
    <w:p w:rsidR="00A4008C" w:rsidRDefault="00A4008C" w:rsidP="00F02699">
      <w:pPr>
        <w:spacing w:line="360" w:lineRule="auto"/>
        <w:jc w:val="both"/>
      </w:pPr>
    </w:p>
    <w:p w:rsidR="00FF009C" w:rsidRPr="0051285C" w:rsidRDefault="003B6A6B" w:rsidP="00F02699">
      <w:pPr>
        <w:spacing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Všetky spomínané nové elektronické služby</w:t>
      </w:r>
      <w:r w:rsidR="00F02699" w:rsidRPr="0051285C">
        <w:rPr>
          <w:sz w:val="20"/>
          <w:szCs w:val="20"/>
        </w:rPr>
        <w:t xml:space="preserve"> vznikli ako reakcia na meniace sa potreby používateľov</w:t>
      </w:r>
      <w:r w:rsidR="00F51AC9" w:rsidRPr="0051285C">
        <w:rPr>
          <w:sz w:val="20"/>
          <w:szCs w:val="20"/>
        </w:rPr>
        <w:t xml:space="preserve"> a p</w:t>
      </w:r>
      <w:r w:rsidRPr="0051285C">
        <w:rPr>
          <w:sz w:val="20"/>
          <w:szCs w:val="20"/>
        </w:rPr>
        <w:t>redstavujú pridanú hodnotu v ponuke AK</w:t>
      </w:r>
      <w:r w:rsidR="00F51AC9" w:rsidRPr="0051285C">
        <w:rPr>
          <w:sz w:val="20"/>
          <w:szCs w:val="20"/>
        </w:rPr>
        <w:t>.</w:t>
      </w:r>
      <w:r w:rsidR="00F02699" w:rsidRPr="0051285C">
        <w:rPr>
          <w:sz w:val="20"/>
          <w:szCs w:val="20"/>
        </w:rPr>
        <w:t xml:space="preserve"> </w:t>
      </w:r>
      <w:r w:rsidR="00F51AC9" w:rsidRPr="0051285C">
        <w:rPr>
          <w:sz w:val="20"/>
          <w:szCs w:val="20"/>
        </w:rPr>
        <w:t xml:space="preserve">Ide však o </w:t>
      </w:r>
      <w:r w:rsidR="00F02699" w:rsidRPr="0051285C">
        <w:rPr>
          <w:sz w:val="20"/>
          <w:szCs w:val="20"/>
        </w:rPr>
        <w:t xml:space="preserve">finančne </w:t>
      </w:r>
      <w:r w:rsidR="00F51AC9" w:rsidRPr="0051285C">
        <w:rPr>
          <w:sz w:val="20"/>
          <w:szCs w:val="20"/>
        </w:rPr>
        <w:t xml:space="preserve">náročné služby, preto je mimoriadne dôležité sledovať ich efektívnosť a využívanie. </w:t>
      </w:r>
      <w:r w:rsidR="00F02699" w:rsidRPr="0051285C">
        <w:rPr>
          <w:sz w:val="20"/>
          <w:szCs w:val="20"/>
        </w:rPr>
        <w:t>V prípade EIZ by nástrojom na vyhodnotenie efektivity mala byť štatistika využívania od dodávateľa</w:t>
      </w:r>
      <w:r w:rsidRPr="0051285C">
        <w:rPr>
          <w:sz w:val="20"/>
          <w:szCs w:val="20"/>
        </w:rPr>
        <w:t xml:space="preserve"> (graf č. 6).</w:t>
      </w:r>
      <w:r w:rsidR="00F02699" w:rsidRPr="0051285C">
        <w:rPr>
          <w:sz w:val="20"/>
          <w:szCs w:val="20"/>
        </w:rPr>
        <w:t xml:space="preserve"> </w:t>
      </w:r>
      <w:r w:rsidR="00FF009C" w:rsidRPr="0051285C">
        <w:rPr>
          <w:sz w:val="20"/>
          <w:szCs w:val="20"/>
        </w:rPr>
        <w:t xml:space="preserve">Problémom ostáva skutočnosť, že </w:t>
      </w:r>
      <w:r w:rsidR="007A12C6" w:rsidRPr="0051285C">
        <w:rPr>
          <w:sz w:val="20"/>
          <w:szCs w:val="20"/>
        </w:rPr>
        <w:t xml:space="preserve">nie všetky AK majú </w:t>
      </w:r>
      <w:r w:rsidR="00FF009C" w:rsidRPr="0051285C">
        <w:rPr>
          <w:sz w:val="20"/>
          <w:szCs w:val="20"/>
        </w:rPr>
        <w:t xml:space="preserve">povinnosť dodávania používateľských štatistík dodávateľmi EIZ </w:t>
      </w:r>
      <w:r w:rsidR="007A12C6" w:rsidRPr="0051285C">
        <w:rPr>
          <w:sz w:val="20"/>
          <w:szCs w:val="20"/>
        </w:rPr>
        <w:t>zahrnutú v licenčnej zmluve.</w:t>
      </w:r>
      <w:r w:rsidR="00FF009C" w:rsidRPr="0051285C">
        <w:rPr>
          <w:sz w:val="20"/>
          <w:szCs w:val="20"/>
        </w:rPr>
        <w:t xml:space="preserve"> Stále ešte existujú dodávatelia EIZ, ktorí štatistiky nedodávajú, alebo dodávajú také štatistické údaje, ktoré pre knižnicu nemajú žiadnu alebo len malú výpovednú hodnotu. V týchto prípadoch sa väčšinou knižnice snažia sledovať štatistiky vlastnými silami. Kvalita týchto štatistík už potom závisí od schopností technických pracovníkov v príslušných knižniciach. Existujú však aj pracoviská, ktoré nemajú dostatočne technicky vybavený personál a vlastné štatistiky vytvárať nemôžu. V týchto prípadoch sa štatistiky nesledujú vôbec a stráca sa akákoľvek spätná väzba svedčiaca o využívaní konkrétneho informačného zdroja. Je potrebné zabezpečiť, aby dodávatelia EIZ pravidelne a v dohodnutých formátoch poskytovali odberateľom vyhovujúce používateľské štatistiky. </w:t>
      </w:r>
      <w:r w:rsidR="007A12C6" w:rsidRPr="0051285C">
        <w:rPr>
          <w:sz w:val="20"/>
          <w:szCs w:val="20"/>
        </w:rPr>
        <w:t xml:space="preserve">V záujme zabezpečenia kompatibility údajov, je nanajvýš potrebné, aby knižnice trvali na dodávaní </w:t>
      </w:r>
      <w:r w:rsidR="00FF009C" w:rsidRPr="0051285C">
        <w:rPr>
          <w:sz w:val="20"/>
          <w:szCs w:val="20"/>
        </w:rPr>
        <w:t xml:space="preserve">používateľských štatistík podľa medzinárodného odporúčania COUNTER </w:t>
      </w:r>
      <w:r w:rsidR="007A12C6" w:rsidRPr="0051285C">
        <w:rPr>
          <w:sz w:val="20"/>
          <w:szCs w:val="20"/>
        </w:rPr>
        <w:t xml:space="preserve">pre sledovanie využívania elektronických informačných zdrojov a zahrnuli to do svojich </w:t>
      </w:r>
      <w:r w:rsidR="00FF009C" w:rsidRPr="0051285C">
        <w:rPr>
          <w:sz w:val="20"/>
          <w:szCs w:val="20"/>
        </w:rPr>
        <w:t>licenčných zmlúv</w:t>
      </w:r>
      <w:r w:rsidR="007A12C6" w:rsidRPr="0051285C">
        <w:rPr>
          <w:sz w:val="20"/>
          <w:szCs w:val="20"/>
        </w:rPr>
        <w:t>.</w:t>
      </w:r>
    </w:p>
    <w:p w:rsidR="00D4282E" w:rsidRDefault="00C40C47" w:rsidP="00F51AC9">
      <w:pPr>
        <w:jc w:val="center"/>
        <w:rPr>
          <w:sz w:val="20"/>
          <w:szCs w:val="20"/>
        </w:rPr>
      </w:pPr>
      <w:r w:rsidRPr="00111776">
        <w:rPr>
          <w:noProof/>
          <w:sz w:val="20"/>
          <w:szCs w:val="20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1AC9" w:rsidRPr="00F51AC9" w:rsidRDefault="00F51AC9" w:rsidP="00F51AC9">
      <w:pPr>
        <w:jc w:val="center"/>
        <w:rPr>
          <w:b/>
          <w:sz w:val="20"/>
          <w:szCs w:val="20"/>
        </w:rPr>
      </w:pPr>
      <w:r w:rsidRPr="00F51AC9">
        <w:rPr>
          <w:b/>
          <w:sz w:val="20"/>
          <w:szCs w:val="20"/>
        </w:rPr>
        <w:t>Graf 6: Využívanie EIZ a on-line katalógov AK</w:t>
      </w:r>
    </w:p>
    <w:p w:rsidR="00A76F8E" w:rsidRPr="0051285C" w:rsidRDefault="00A76F8E" w:rsidP="00A76F8E">
      <w:pPr>
        <w:spacing w:before="120" w:after="0"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Osobitnú pozornosť si zaslúžia služby, ktoré poskytujú akademické knižnice na báze evidencie publikačnej činnosti zamestnancov vysokých škôl. Ide o kľúčovú činnosť, ktorú AK zabezpečujú na základe Vyhlášky MŠVVaŠ SR č.456/2012 Z. z. centrálnom registri evidencie publikačnej činnosti (CREPČ) a centrálnom registri evidencie umeleckej činnosti (CREUČ).</w:t>
      </w:r>
      <w:r w:rsidRPr="0051285C">
        <w:rPr>
          <w:b/>
          <w:bCs/>
          <w:sz w:val="20"/>
          <w:szCs w:val="20"/>
        </w:rPr>
        <w:t xml:space="preserve"> </w:t>
      </w:r>
      <w:r w:rsidRPr="0051285C">
        <w:rPr>
          <w:sz w:val="20"/>
          <w:szCs w:val="20"/>
        </w:rPr>
        <w:t>Vyhláška ukladá AK povinnosť bibliografickej  registrácie publikačnej a umeleckej činnosti vysokoškolských učiteľov, výskumných pracovníkov a doktorandov VŠ. Výstupy z oboch databáz sú dôležitým podkladom pre financovanie vysokých škôl, akreditáciu študijných odborov ako aj pre kvalifikačné postupy zamestnancov vysokých škôl; za rok 201</w:t>
      </w:r>
      <w:r w:rsidR="003B6A6B" w:rsidRPr="0051285C">
        <w:rPr>
          <w:sz w:val="20"/>
          <w:szCs w:val="20"/>
        </w:rPr>
        <w:t>3</w:t>
      </w:r>
      <w:r w:rsidRPr="0051285C">
        <w:rPr>
          <w:sz w:val="20"/>
          <w:szCs w:val="20"/>
        </w:rPr>
        <w:t xml:space="preserve"> spracovali AK </w:t>
      </w:r>
      <w:r w:rsidR="003B6A6B" w:rsidRPr="0051285C">
        <w:rPr>
          <w:b/>
          <w:sz w:val="20"/>
          <w:szCs w:val="20"/>
        </w:rPr>
        <w:t>25</w:t>
      </w:r>
      <w:r w:rsidR="00FF009C" w:rsidRPr="0051285C">
        <w:rPr>
          <w:b/>
          <w:sz w:val="20"/>
          <w:szCs w:val="20"/>
        </w:rPr>
        <w:t> </w:t>
      </w:r>
      <w:r w:rsidR="003B6A6B" w:rsidRPr="0051285C">
        <w:rPr>
          <w:b/>
          <w:sz w:val="20"/>
          <w:szCs w:val="20"/>
        </w:rPr>
        <w:t>246</w:t>
      </w:r>
      <w:r w:rsidR="00FF009C" w:rsidRPr="0051285C">
        <w:rPr>
          <w:sz w:val="20"/>
          <w:szCs w:val="20"/>
        </w:rPr>
        <w:t xml:space="preserve"> </w:t>
      </w:r>
      <w:r w:rsidR="00FF009C" w:rsidRPr="0051285C">
        <w:rPr>
          <w:b/>
          <w:sz w:val="20"/>
          <w:szCs w:val="20"/>
        </w:rPr>
        <w:t>publikačných výstupov</w:t>
      </w:r>
      <w:r w:rsidR="00FF009C" w:rsidRPr="0051285C">
        <w:rPr>
          <w:sz w:val="20"/>
          <w:szCs w:val="20"/>
        </w:rPr>
        <w:t xml:space="preserve"> a rešerší, čo bolo </w:t>
      </w:r>
      <w:r w:rsidR="00FF009C" w:rsidRPr="0051285C">
        <w:rPr>
          <w:b/>
          <w:sz w:val="20"/>
          <w:szCs w:val="20"/>
        </w:rPr>
        <w:t>o </w:t>
      </w:r>
      <w:r w:rsidR="003B6A6B" w:rsidRPr="0051285C">
        <w:rPr>
          <w:b/>
          <w:sz w:val="20"/>
          <w:szCs w:val="20"/>
        </w:rPr>
        <w:t>6</w:t>
      </w:r>
      <w:r w:rsidR="00FF009C" w:rsidRPr="0051285C">
        <w:rPr>
          <w:b/>
          <w:sz w:val="20"/>
          <w:szCs w:val="20"/>
        </w:rPr>
        <w:t xml:space="preserve"> </w:t>
      </w:r>
      <w:r w:rsidR="003B6A6B" w:rsidRPr="0051285C">
        <w:rPr>
          <w:b/>
          <w:sz w:val="20"/>
          <w:szCs w:val="20"/>
        </w:rPr>
        <w:t>794 viac</w:t>
      </w:r>
      <w:r w:rsidR="003B6A6B" w:rsidRPr="0051285C">
        <w:rPr>
          <w:sz w:val="20"/>
          <w:szCs w:val="20"/>
        </w:rPr>
        <w:t xml:space="preserve"> ako v predchádzajúcom roku. Nárast </w:t>
      </w:r>
      <w:r w:rsidR="003902AF" w:rsidRPr="0051285C">
        <w:rPr>
          <w:sz w:val="20"/>
          <w:szCs w:val="20"/>
        </w:rPr>
        <w:t xml:space="preserve">činnosti </w:t>
      </w:r>
      <w:r w:rsidR="003B6A6B" w:rsidRPr="0051285C">
        <w:rPr>
          <w:sz w:val="20"/>
          <w:szCs w:val="20"/>
        </w:rPr>
        <w:t>súvisí s</w:t>
      </w:r>
      <w:r w:rsidR="00FF009C" w:rsidRPr="0051285C">
        <w:rPr>
          <w:sz w:val="20"/>
          <w:szCs w:val="20"/>
        </w:rPr>
        <w:t xml:space="preserve"> rozbiehajúcou </w:t>
      </w:r>
      <w:r w:rsidR="003902AF" w:rsidRPr="0051285C">
        <w:rPr>
          <w:sz w:val="20"/>
          <w:szCs w:val="20"/>
        </w:rPr>
        <w:t xml:space="preserve">sa </w:t>
      </w:r>
      <w:r w:rsidR="00FF009C" w:rsidRPr="0051285C">
        <w:rPr>
          <w:sz w:val="20"/>
          <w:szCs w:val="20"/>
        </w:rPr>
        <w:t>akreditáciou VŠ</w:t>
      </w:r>
      <w:r w:rsidR="003902AF" w:rsidRPr="0051285C">
        <w:rPr>
          <w:sz w:val="20"/>
          <w:szCs w:val="20"/>
        </w:rPr>
        <w:t xml:space="preserve"> v r. 2013 a z nových úloh, ktoré pre AK vyplynuli: rozšírenie databáz EPC o nové ukazovatele ako je napr. IF časopisu, implementácia odkazov na úplné </w:t>
      </w:r>
      <w:proofErr w:type="spellStart"/>
      <w:r w:rsidR="003902AF" w:rsidRPr="0051285C">
        <w:rPr>
          <w:sz w:val="20"/>
          <w:szCs w:val="20"/>
        </w:rPr>
        <w:t>url</w:t>
      </w:r>
      <w:proofErr w:type="spellEnd"/>
      <w:r w:rsidR="003902AF" w:rsidRPr="0051285C">
        <w:rPr>
          <w:sz w:val="20"/>
          <w:szCs w:val="20"/>
        </w:rPr>
        <w:t xml:space="preserve"> adresy článkov excerpovaných v sledovaných databázach WoS a </w:t>
      </w:r>
      <w:proofErr w:type="spellStart"/>
      <w:r w:rsidR="003902AF" w:rsidRPr="0051285C">
        <w:rPr>
          <w:sz w:val="20"/>
          <w:szCs w:val="20"/>
        </w:rPr>
        <w:t>Scopus</w:t>
      </w:r>
      <w:proofErr w:type="spellEnd"/>
      <w:r w:rsidR="003902AF" w:rsidRPr="0051285C">
        <w:rPr>
          <w:sz w:val="20"/>
          <w:szCs w:val="20"/>
        </w:rPr>
        <w:t xml:space="preserve">. Ďalšie nové činnosti vyplynuli pre knižnice </w:t>
      </w:r>
      <w:r w:rsidR="00C048AE" w:rsidRPr="0051285C">
        <w:rPr>
          <w:sz w:val="20"/>
          <w:szCs w:val="20"/>
        </w:rPr>
        <w:t>v súvislosti s </w:t>
      </w:r>
      <w:proofErr w:type="spellStart"/>
      <w:r w:rsidR="00C048AE" w:rsidRPr="0051285C">
        <w:rPr>
          <w:sz w:val="20"/>
          <w:szCs w:val="20"/>
        </w:rPr>
        <w:t>open</w:t>
      </w:r>
      <w:proofErr w:type="spellEnd"/>
      <w:r w:rsidR="00C048AE" w:rsidRPr="0051285C">
        <w:rPr>
          <w:sz w:val="20"/>
          <w:szCs w:val="20"/>
        </w:rPr>
        <w:t xml:space="preserve"> </w:t>
      </w:r>
      <w:proofErr w:type="spellStart"/>
      <w:r w:rsidR="00C048AE" w:rsidRPr="0051285C">
        <w:rPr>
          <w:sz w:val="20"/>
          <w:szCs w:val="20"/>
        </w:rPr>
        <w:t>access</w:t>
      </w:r>
      <w:proofErr w:type="spellEnd"/>
      <w:r w:rsidR="00C048AE" w:rsidRPr="0051285C">
        <w:rPr>
          <w:sz w:val="20"/>
          <w:szCs w:val="20"/>
        </w:rPr>
        <w:t xml:space="preserve"> publikovaním, v rámci ktorého zabezpečujú voľný prístup používateľov k OA dokumentom. </w:t>
      </w:r>
      <w:r w:rsidRPr="0051285C">
        <w:rPr>
          <w:sz w:val="20"/>
          <w:szCs w:val="20"/>
        </w:rPr>
        <w:t>Na používateľov sú orientované aj ďalšie služby a činnosti AK; akademické knižnice sú organizátormi vzdelávacích a kultúrno-spoločenských podujatí; v roku 201</w:t>
      </w:r>
      <w:r w:rsidR="00F51AC9" w:rsidRPr="0051285C">
        <w:rPr>
          <w:sz w:val="20"/>
          <w:szCs w:val="20"/>
        </w:rPr>
        <w:t>3</w:t>
      </w:r>
      <w:r w:rsidRPr="0051285C">
        <w:rPr>
          <w:sz w:val="20"/>
          <w:szCs w:val="20"/>
        </w:rPr>
        <w:t xml:space="preserve"> pripravili </w:t>
      </w:r>
      <w:r w:rsidRPr="0051285C">
        <w:rPr>
          <w:b/>
          <w:sz w:val="20"/>
          <w:szCs w:val="20"/>
        </w:rPr>
        <w:t xml:space="preserve">1 </w:t>
      </w:r>
      <w:r w:rsidR="00F51AC9" w:rsidRPr="0051285C">
        <w:rPr>
          <w:b/>
          <w:sz w:val="20"/>
          <w:szCs w:val="20"/>
        </w:rPr>
        <w:t>011</w:t>
      </w:r>
      <w:r w:rsidRPr="0051285C">
        <w:rPr>
          <w:b/>
          <w:sz w:val="20"/>
          <w:szCs w:val="20"/>
        </w:rPr>
        <w:t xml:space="preserve"> podujatí</w:t>
      </w:r>
      <w:r w:rsidRPr="0051285C">
        <w:rPr>
          <w:sz w:val="20"/>
          <w:szCs w:val="20"/>
        </w:rPr>
        <w:t>, mnohé z nich v rámci 1</w:t>
      </w:r>
      <w:r w:rsidR="00F51AC9" w:rsidRPr="0051285C">
        <w:rPr>
          <w:sz w:val="20"/>
          <w:szCs w:val="20"/>
        </w:rPr>
        <w:t>4</w:t>
      </w:r>
      <w:r w:rsidRPr="0051285C">
        <w:rPr>
          <w:sz w:val="20"/>
          <w:szCs w:val="20"/>
        </w:rPr>
        <w:t>. ročníka celoslovenského podujatia Týždeň slovenských knižníc</w:t>
      </w:r>
      <w:r w:rsidR="00F51AC9" w:rsidRPr="0051285C">
        <w:rPr>
          <w:sz w:val="20"/>
          <w:szCs w:val="20"/>
        </w:rPr>
        <w:t>.</w:t>
      </w:r>
      <w:r w:rsidRPr="0051285C">
        <w:rPr>
          <w:sz w:val="20"/>
          <w:szCs w:val="20"/>
        </w:rPr>
        <w:t xml:space="preserve"> AK sa dlhodobo venujú problematike informačného vzdelávania, aktívne sa podieľajú na zvyšovaní informačnej gramotnosti svojich používateľov rôznymi formami v rámci formálneho i neformálneho vzdelávania.  </w:t>
      </w:r>
      <w:r w:rsidR="00F51AC9" w:rsidRPr="0051285C">
        <w:rPr>
          <w:sz w:val="20"/>
          <w:szCs w:val="20"/>
        </w:rPr>
        <w:t>Mnohé AK zabezpečujú</w:t>
      </w:r>
      <w:r w:rsidRPr="0051285C">
        <w:rPr>
          <w:sz w:val="20"/>
          <w:szCs w:val="20"/>
        </w:rPr>
        <w:t xml:space="preserve"> pre vysoké školy služby spojené s vydavateľskou, edičnou činnosťou a predajom ich publikácií</w:t>
      </w:r>
      <w:r w:rsidR="007A7CAF" w:rsidRPr="0051285C">
        <w:rPr>
          <w:sz w:val="20"/>
          <w:szCs w:val="20"/>
        </w:rPr>
        <w:t xml:space="preserve"> </w:t>
      </w:r>
      <w:r w:rsidRPr="0051285C">
        <w:rPr>
          <w:sz w:val="20"/>
          <w:szCs w:val="20"/>
        </w:rPr>
        <w:t>.</w:t>
      </w:r>
    </w:p>
    <w:p w:rsidR="00C048AE" w:rsidRDefault="00C048AE" w:rsidP="00EC18D1">
      <w:pPr>
        <w:pStyle w:val="Popis"/>
        <w:keepNext/>
        <w:rPr>
          <w:rFonts w:asciiTheme="minorHAnsi" w:hAnsiTheme="minorHAnsi"/>
        </w:rPr>
      </w:pPr>
    </w:p>
    <w:p w:rsidR="009E2B3C" w:rsidRDefault="009E2B3C" w:rsidP="009E2B3C"/>
    <w:p w:rsidR="009E2B3C" w:rsidRPr="009E2B3C" w:rsidRDefault="009E2B3C" w:rsidP="009E2B3C"/>
    <w:p w:rsidR="00EC18D1" w:rsidRPr="00111776" w:rsidRDefault="00EC18D1" w:rsidP="00EC18D1">
      <w:pPr>
        <w:pStyle w:val="Popis"/>
        <w:keepNext/>
        <w:rPr>
          <w:rFonts w:asciiTheme="minorHAnsi" w:hAnsiTheme="minorHAnsi"/>
        </w:rPr>
      </w:pPr>
      <w:r w:rsidRPr="00111776">
        <w:rPr>
          <w:rFonts w:asciiTheme="minorHAnsi" w:hAnsiTheme="minorHAnsi"/>
        </w:rPr>
        <w:lastRenderedPageBreak/>
        <w:t xml:space="preserve">Tabuľka </w:t>
      </w:r>
      <w:r w:rsidR="00D906DF" w:rsidRPr="00111776">
        <w:rPr>
          <w:rFonts w:asciiTheme="minorHAnsi" w:hAnsiTheme="minorHAnsi"/>
        </w:rPr>
        <w:fldChar w:fldCharType="begin"/>
      </w:r>
      <w:r w:rsidR="000B63D7" w:rsidRPr="00111776">
        <w:rPr>
          <w:rFonts w:asciiTheme="minorHAnsi" w:hAnsiTheme="minorHAnsi"/>
        </w:rPr>
        <w:instrText xml:space="preserve"> SEQ Tabuľka \* ARABIC </w:instrText>
      </w:r>
      <w:r w:rsidR="00D906DF" w:rsidRPr="00111776">
        <w:rPr>
          <w:rFonts w:asciiTheme="minorHAnsi" w:hAnsiTheme="minorHAnsi"/>
        </w:rPr>
        <w:fldChar w:fldCharType="separate"/>
      </w:r>
      <w:r w:rsidR="00243109" w:rsidRPr="00111776">
        <w:rPr>
          <w:rFonts w:asciiTheme="minorHAnsi" w:hAnsiTheme="minorHAnsi"/>
          <w:noProof/>
        </w:rPr>
        <w:t>7</w:t>
      </w:r>
      <w:r w:rsidR="00D906DF" w:rsidRPr="00111776">
        <w:rPr>
          <w:rFonts w:asciiTheme="minorHAnsi" w:hAnsiTheme="minorHAnsi"/>
        </w:rPr>
        <w:fldChar w:fldCharType="end"/>
      </w:r>
      <w:r w:rsidRPr="00111776">
        <w:rPr>
          <w:rFonts w:asciiTheme="minorHAnsi" w:hAnsiTheme="minorHAnsi"/>
        </w:rPr>
        <w:t>: Informačné vzdelávanie v AK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1102"/>
        <w:gridCol w:w="993"/>
        <w:gridCol w:w="1295"/>
        <w:gridCol w:w="787"/>
        <w:gridCol w:w="787"/>
      </w:tblGrid>
      <w:tr w:rsidR="00EC18D1" w:rsidRPr="00111776" w:rsidTr="00C07033">
        <w:trPr>
          <w:jc w:val="center"/>
        </w:trPr>
        <w:tc>
          <w:tcPr>
            <w:tcW w:w="0" w:type="auto"/>
          </w:tcPr>
          <w:p w:rsidR="00EC18D1" w:rsidRPr="00111776" w:rsidRDefault="00EC18D1" w:rsidP="00C07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8D1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Verejné VŠ </w:t>
            </w:r>
          </w:p>
        </w:tc>
        <w:tc>
          <w:tcPr>
            <w:tcW w:w="0" w:type="auto"/>
            <w:vAlign w:val="center"/>
          </w:tcPr>
          <w:p w:rsidR="00EC18D1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Štátne VŠ</w:t>
            </w:r>
          </w:p>
        </w:tc>
        <w:tc>
          <w:tcPr>
            <w:tcW w:w="0" w:type="auto"/>
            <w:vAlign w:val="center"/>
          </w:tcPr>
          <w:p w:rsidR="00EC18D1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Súkromné VŠ</w:t>
            </w:r>
          </w:p>
        </w:tc>
        <w:tc>
          <w:tcPr>
            <w:tcW w:w="0" w:type="auto"/>
            <w:vAlign w:val="center"/>
          </w:tcPr>
          <w:p w:rsidR="00EC18D1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r. 2012 </w:t>
            </w:r>
          </w:p>
        </w:tc>
        <w:tc>
          <w:tcPr>
            <w:tcW w:w="0" w:type="auto"/>
            <w:vAlign w:val="center"/>
          </w:tcPr>
          <w:p w:rsidR="00EC18D1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r. 2013 </w:t>
            </w:r>
          </w:p>
        </w:tc>
      </w:tr>
      <w:tr w:rsidR="00EC18D1" w:rsidRPr="00111776" w:rsidTr="00C07033">
        <w:trPr>
          <w:jc w:val="center"/>
        </w:trPr>
        <w:tc>
          <w:tcPr>
            <w:tcW w:w="0" w:type="auto"/>
          </w:tcPr>
          <w:p w:rsidR="00EC18D1" w:rsidRPr="00111776" w:rsidRDefault="00EC18D1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Podujatia informačného vzdelávania</w:t>
            </w:r>
          </w:p>
        </w:tc>
        <w:tc>
          <w:tcPr>
            <w:tcW w:w="0" w:type="auto"/>
            <w:vAlign w:val="center"/>
          </w:tcPr>
          <w:p w:rsidR="00EC18D1" w:rsidRPr="00111776" w:rsidRDefault="00237300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844</w:t>
            </w:r>
          </w:p>
        </w:tc>
        <w:tc>
          <w:tcPr>
            <w:tcW w:w="0" w:type="auto"/>
            <w:vAlign w:val="center"/>
          </w:tcPr>
          <w:p w:rsidR="00EC18D1" w:rsidRPr="00111776" w:rsidRDefault="00237300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EC18D1" w:rsidRPr="00111776" w:rsidRDefault="00237300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EC18D1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880,00</w:t>
            </w:r>
          </w:p>
        </w:tc>
        <w:tc>
          <w:tcPr>
            <w:tcW w:w="0" w:type="auto"/>
            <w:vAlign w:val="center"/>
          </w:tcPr>
          <w:p w:rsidR="00EC18D1" w:rsidRPr="00111776" w:rsidRDefault="00237300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1 011</w:t>
            </w:r>
          </w:p>
        </w:tc>
      </w:tr>
      <w:tr w:rsidR="00EC18D1" w:rsidRPr="00111776" w:rsidTr="00C07033">
        <w:trPr>
          <w:jc w:val="center"/>
        </w:trPr>
        <w:tc>
          <w:tcPr>
            <w:tcW w:w="0" w:type="auto"/>
          </w:tcPr>
          <w:p w:rsidR="00EC18D1" w:rsidRPr="00111776" w:rsidRDefault="00EC18D1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Počet podujatí IV na 1 AK</w:t>
            </w:r>
          </w:p>
        </w:tc>
        <w:tc>
          <w:tcPr>
            <w:tcW w:w="0" w:type="auto"/>
            <w:vAlign w:val="center"/>
          </w:tcPr>
          <w:p w:rsidR="00EC18D1" w:rsidRPr="00111776" w:rsidRDefault="00237300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32,46</w:t>
            </w:r>
          </w:p>
        </w:tc>
        <w:tc>
          <w:tcPr>
            <w:tcW w:w="0" w:type="auto"/>
            <w:vAlign w:val="center"/>
          </w:tcPr>
          <w:p w:rsidR="00EC18D1" w:rsidRPr="00111776" w:rsidRDefault="00237300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EC18D1" w:rsidRPr="00111776" w:rsidRDefault="00237300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8,36</w:t>
            </w:r>
          </w:p>
        </w:tc>
        <w:tc>
          <w:tcPr>
            <w:tcW w:w="0" w:type="auto"/>
            <w:vAlign w:val="center"/>
          </w:tcPr>
          <w:p w:rsidR="00EC18D1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22,00 </w:t>
            </w:r>
          </w:p>
        </w:tc>
        <w:tc>
          <w:tcPr>
            <w:tcW w:w="0" w:type="auto"/>
            <w:vAlign w:val="center"/>
          </w:tcPr>
          <w:p w:rsidR="00EC18D1" w:rsidRPr="00111776" w:rsidRDefault="00237300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25,27</w:t>
            </w:r>
          </w:p>
        </w:tc>
      </w:tr>
    </w:tbl>
    <w:p w:rsidR="00EC18D1" w:rsidRPr="00111776" w:rsidRDefault="00EC18D1" w:rsidP="005E7EFB">
      <w:pPr>
        <w:pStyle w:val="Popis"/>
        <w:keepNext/>
        <w:rPr>
          <w:rFonts w:asciiTheme="minorHAnsi" w:hAnsiTheme="minorHAnsi"/>
        </w:rPr>
      </w:pPr>
    </w:p>
    <w:p w:rsidR="00EC18D1" w:rsidRPr="000B4486" w:rsidRDefault="000B4486" w:rsidP="005E7EFB">
      <w:pPr>
        <w:pStyle w:val="Popis"/>
        <w:keepNext/>
        <w:rPr>
          <w:rFonts w:asciiTheme="minorHAnsi" w:hAnsiTheme="minorHAnsi"/>
          <w:u w:val="single"/>
        </w:rPr>
      </w:pPr>
      <w:r w:rsidRPr="000B4486">
        <w:rPr>
          <w:rFonts w:asciiTheme="minorHAnsi" w:hAnsiTheme="minorHAnsi"/>
          <w:u w:val="single"/>
        </w:rPr>
        <w:t>Priestory a informačné technológie</w:t>
      </w:r>
    </w:p>
    <w:p w:rsidR="00EC18D1" w:rsidRPr="00C048AE" w:rsidRDefault="00C048AE" w:rsidP="00C048AE">
      <w:pPr>
        <w:pStyle w:val="Popis"/>
        <w:keepNext/>
        <w:spacing w:line="360" w:lineRule="auto"/>
        <w:jc w:val="both"/>
        <w:rPr>
          <w:rFonts w:asciiTheme="minorHAnsi" w:hAnsiTheme="minorHAnsi"/>
          <w:b w:val="0"/>
        </w:rPr>
      </w:pPr>
      <w:r w:rsidRPr="00C048AE">
        <w:rPr>
          <w:rFonts w:asciiTheme="minorHAnsi" w:hAnsiTheme="minorHAnsi"/>
          <w:b w:val="0"/>
        </w:rPr>
        <w:t>Priestory akademických knižníc by mali zabezpečiť vhodné, bezpečné a primerané podmienky pre uloženie knižničných zbierok, oddelené zóny pre návštevníkov knižnice podľa účelu (individuálne študijné miesta kombinované s oddeleným priestorom určeným na skupinové študijné aktivity), prevádzku automatizovaných knižničných systémov a ostatných informačných technológií a oddelený služobný priestor pre zamestnancov knižnice. Veľkosť priestorov by mala zohľadňovať veľkosť knižničných zbierok, počet používateľov a frekvenciu návštevnosti knižnice. Ideálne je ak sa pri projektovaní nových priestorov resp. pri rekonštrukcii prihliada aj na pripomienky knihovníkov. Za ostatné roky badať pozitívny posun v zlepšovaní priestorového zabezpečenie akademických knižníc, na druhej strane musia AK ešte stále prekonávať nepochopenie a nedostatok podpory zo strany zriaďovateľov pri presadzovaní požiadaviek na zlepšovanie priestorových podmienok a primeraného technického vybavenia knižníc. Priemerná rozloha 1 AK vychádza na 2 102,46 m2  celkovej plochy knižničných priestorov.</w:t>
      </w:r>
    </w:p>
    <w:p w:rsidR="00A4008C" w:rsidRPr="00A4008C" w:rsidRDefault="00A4008C" w:rsidP="00A4008C"/>
    <w:p w:rsidR="005E7EFB" w:rsidRPr="00111776" w:rsidRDefault="005E7EFB" w:rsidP="005E7EFB">
      <w:pPr>
        <w:pStyle w:val="Popis"/>
        <w:keepNext/>
        <w:rPr>
          <w:rFonts w:asciiTheme="minorHAnsi" w:hAnsiTheme="minorHAnsi"/>
        </w:rPr>
      </w:pPr>
      <w:r w:rsidRPr="00111776">
        <w:rPr>
          <w:rFonts w:asciiTheme="minorHAnsi" w:hAnsiTheme="minorHAnsi"/>
        </w:rPr>
        <w:t xml:space="preserve">Tabuľka </w:t>
      </w:r>
      <w:r w:rsidR="00D906DF" w:rsidRPr="00111776">
        <w:rPr>
          <w:rFonts w:asciiTheme="minorHAnsi" w:hAnsiTheme="minorHAnsi"/>
        </w:rPr>
        <w:fldChar w:fldCharType="begin"/>
      </w:r>
      <w:r w:rsidR="000B63D7" w:rsidRPr="00111776">
        <w:rPr>
          <w:rFonts w:asciiTheme="minorHAnsi" w:hAnsiTheme="minorHAnsi"/>
        </w:rPr>
        <w:instrText xml:space="preserve"> SEQ Tabuľka \* ARABIC </w:instrText>
      </w:r>
      <w:r w:rsidR="00D906DF" w:rsidRPr="00111776">
        <w:rPr>
          <w:rFonts w:asciiTheme="minorHAnsi" w:hAnsiTheme="minorHAnsi"/>
        </w:rPr>
        <w:fldChar w:fldCharType="separate"/>
      </w:r>
      <w:r w:rsidR="00243109" w:rsidRPr="00111776">
        <w:rPr>
          <w:rFonts w:asciiTheme="minorHAnsi" w:hAnsiTheme="minorHAnsi"/>
          <w:noProof/>
        </w:rPr>
        <w:t>8</w:t>
      </w:r>
      <w:r w:rsidR="00D906DF" w:rsidRPr="00111776">
        <w:rPr>
          <w:rFonts w:asciiTheme="minorHAnsi" w:hAnsiTheme="minorHAnsi"/>
        </w:rPr>
        <w:fldChar w:fldCharType="end"/>
      </w:r>
      <w:r w:rsidRPr="00111776">
        <w:rPr>
          <w:rFonts w:asciiTheme="minorHAnsi" w:hAnsiTheme="minorHAnsi"/>
        </w:rPr>
        <w:t>: Priestory AK v číslach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1102"/>
        <w:gridCol w:w="993"/>
        <w:gridCol w:w="1295"/>
        <w:gridCol w:w="1021"/>
        <w:gridCol w:w="1021"/>
      </w:tblGrid>
      <w:tr w:rsidR="005E7EFB" w:rsidRPr="00111776" w:rsidTr="00C07033">
        <w:trPr>
          <w:jc w:val="center"/>
        </w:trPr>
        <w:tc>
          <w:tcPr>
            <w:tcW w:w="0" w:type="auto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Verejné VŠ</w:t>
            </w:r>
          </w:p>
        </w:tc>
        <w:tc>
          <w:tcPr>
            <w:tcW w:w="0" w:type="auto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Štátne VŠ</w:t>
            </w:r>
          </w:p>
        </w:tc>
        <w:tc>
          <w:tcPr>
            <w:tcW w:w="0" w:type="auto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Súkromné VŠ</w:t>
            </w:r>
          </w:p>
        </w:tc>
        <w:tc>
          <w:tcPr>
            <w:tcW w:w="0" w:type="auto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r. 2012</w:t>
            </w:r>
          </w:p>
        </w:tc>
        <w:tc>
          <w:tcPr>
            <w:tcW w:w="0" w:type="auto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r. 2013</w:t>
            </w:r>
          </w:p>
        </w:tc>
      </w:tr>
      <w:tr w:rsidR="005E7EFB" w:rsidRPr="00111776" w:rsidTr="00C07033">
        <w:trPr>
          <w:jc w:val="center"/>
        </w:trPr>
        <w:tc>
          <w:tcPr>
            <w:tcW w:w="0" w:type="auto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Celková plocha knižnice v m²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60 668,00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3 492,00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2 680,00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60 836,00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66 840,00</w:t>
            </w:r>
          </w:p>
        </w:tc>
      </w:tr>
      <w:tr w:rsidR="005E7EFB" w:rsidRPr="00111776" w:rsidTr="00C07033">
        <w:trPr>
          <w:jc w:val="center"/>
        </w:trPr>
        <w:tc>
          <w:tcPr>
            <w:tcW w:w="0" w:type="auto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Počet študijných miest 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5E7EFB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6 859,00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207,00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413,00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6 898,00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7 499,00</w:t>
            </w:r>
          </w:p>
        </w:tc>
      </w:tr>
      <w:tr w:rsidR="005E7EFB" w:rsidRPr="00111776" w:rsidTr="00C07033">
        <w:trPr>
          <w:jc w:val="center"/>
        </w:trPr>
        <w:tc>
          <w:tcPr>
            <w:tcW w:w="0" w:type="auto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reg. používateľa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0,042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0,018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0,043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0,03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0,041</w:t>
            </w:r>
          </w:p>
        </w:tc>
      </w:tr>
      <w:tr w:rsidR="005E7EFB" w:rsidRPr="00111776" w:rsidTr="00C07033">
        <w:trPr>
          <w:jc w:val="center"/>
        </w:trPr>
        <w:tc>
          <w:tcPr>
            <w:tcW w:w="0" w:type="auto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Priestory pre používateľov  v m²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5E7EFB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35 750,00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1 112,00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2 211,00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34 447,00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39 103,00</w:t>
            </w:r>
          </w:p>
        </w:tc>
      </w:tr>
      <w:tr w:rsidR="005E7EFB" w:rsidRPr="00111776" w:rsidTr="00C07033">
        <w:trPr>
          <w:jc w:val="center"/>
        </w:trPr>
        <w:tc>
          <w:tcPr>
            <w:tcW w:w="0" w:type="auto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reg. používateľa v m²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0,15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0,10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0,22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0,15</w:t>
            </w:r>
          </w:p>
        </w:tc>
        <w:tc>
          <w:tcPr>
            <w:tcW w:w="0" w:type="auto"/>
            <w:vAlign w:val="center"/>
          </w:tcPr>
          <w:p w:rsidR="005E7EFB" w:rsidRPr="00111776" w:rsidRDefault="007A7CAF" w:rsidP="00C07033">
            <w:pPr>
              <w:jc w:val="right"/>
              <w:rPr>
                <w:sz w:val="20"/>
                <w:szCs w:val="20"/>
              </w:rPr>
            </w:pPr>
            <w:r w:rsidRPr="007A7CAF">
              <w:rPr>
                <w:sz w:val="20"/>
                <w:szCs w:val="20"/>
              </w:rPr>
              <w:t>0,213</w:t>
            </w:r>
          </w:p>
        </w:tc>
      </w:tr>
      <w:tr w:rsidR="005E7EFB" w:rsidRPr="00111776" w:rsidTr="00C07033">
        <w:trPr>
          <w:jc w:val="center"/>
        </w:trPr>
        <w:tc>
          <w:tcPr>
            <w:tcW w:w="0" w:type="auto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Počet prevádzkových hodín na 1 AK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45,07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38,00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44,00</w:t>
            </w:r>
          </w:p>
        </w:tc>
        <w:tc>
          <w:tcPr>
            <w:tcW w:w="0" w:type="auto"/>
            <w:vAlign w:val="center"/>
          </w:tcPr>
          <w:p w:rsidR="005E7EFB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44,25</w:t>
            </w:r>
          </w:p>
        </w:tc>
        <w:tc>
          <w:tcPr>
            <w:tcW w:w="0" w:type="auto"/>
            <w:vAlign w:val="center"/>
          </w:tcPr>
          <w:p w:rsidR="005E7EFB" w:rsidRPr="00111776" w:rsidRDefault="007A7CAF" w:rsidP="00C070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43,48</w:t>
            </w:r>
          </w:p>
        </w:tc>
      </w:tr>
    </w:tbl>
    <w:p w:rsidR="005E7EFB" w:rsidRPr="00111776" w:rsidRDefault="005E7EFB" w:rsidP="00073C8E">
      <w:pPr>
        <w:pStyle w:val="Popis"/>
        <w:keepNext/>
        <w:rPr>
          <w:rFonts w:asciiTheme="minorHAnsi" w:hAnsiTheme="minorHAnsi"/>
        </w:rPr>
      </w:pPr>
    </w:p>
    <w:p w:rsidR="005E7EFB" w:rsidRPr="000B4486" w:rsidRDefault="00824593" w:rsidP="00073C8E">
      <w:pPr>
        <w:pStyle w:val="Popis"/>
        <w:keepNext/>
        <w:rPr>
          <w:rFonts w:asciiTheme="minorHAnsi" w:hAnsiTheme="minorHAnsi"/>
          <w:u w:val="single"/>
        </w:rPr>
      </w:pPr>
      <w:r w:rsidRPr="000B4486">
        <w:rPr>
          <w:rFonts w:asciiTheme="minorHAnsi" w:hAnsiTheme="minorHAnsi"/>
          <w:u w:val="single"/>
        </w:rPr>
        <w:t>Financovanie akademických knižníc</w:t>
      </w:r>
    </w:p>
    <w:p w:rsidR="00824593" w:rsidRPr="00111776" w:rsidRDefault="00824593" w:rsidP="000B4486">
      <w:pPr>
        <w:spacing w:line="360" w:lineRule="auto"/>
        <w:jc w:val="both"/>
        <w:rPr>
          <w:sz w:val="20"/>
          <w:szCs w:val="20"/>
        </w:rPr>
      </w:pPr>
      <w:r w:rsidRPr="00111776">
        <w:rPr>
          <w:sz w:val="20"/>
          <w:szCs w:val="20"/>
        </w:rPr>
        <w:t>Vysoké školy financujú svoje akademické knižnice zväčša ako súčasť prevádzkových útvarov (rektorátu, dekanátu</w:t>
      </w:r>
      <w:r w:rsidR="00686E47" w:rsidRPr="00111776">
        <w:rPr>
          <w:sz w:val="20"/>
          <w:szCs w:val="20"/>
        </w:rPr>
        <w:t>)</w:t>
      </w:r>
      <w:r w:rsidR="00C275C0">
        <w:rPr>
          <w:sz w:val="20"/>
          <w:szCs w:val="20"/>
        </w:rPr>
        <w:t>;</w:t>
      </w:r>
      <w:r w:rsidR="00686E47" w:rsidRPr="00111776">
        <w:rPr>
          <w:sz w:val="20"/>
          <w:szCs w:val="20"/>
        </w:rPr>
        <w:t xml:space="preserve"> </w:t>
      </w:r>
      <w:r w:rsidR="00C048AE">
        <w:rPr>
          <w:sz w:val="20"/>
          <w:szCs w:val="20"/>
        </w:rPr>
        <w:t>je len</w:t>
      </w:r>
      <w:r w:rsidR="00686E47" w:rsidRPr="00111776">
        <w:rPr>
          <w:sz w:val="20"/>
          <w:szCs w:val="20"/>
        </w:rPr>
        <w:t xml:space="preserve"> málo akademických knižníc, ktoré fungujú ako samostatné organizačné jednotky vysokých škôl s vlastným rozpočtom</w:t>
      </w:r>
      <w:r w:rsidR="00C048AE">
        <w:rPr>
          <w:sz w:val="20"/>
          <w:szCs w:val="20"/>
        </w:rPr>
        <w:t xml:space="preserve"> (napr.</w:t>
      </w:r>
      <w:r w:rsidR="0073043A">
        <w:rPr>
          <w:sz w:val="20"/>
          <w:szCs w:val="20"/>
        </w:rPr>
        <w:t xml:space="preserve"> UK</w:t>
      </w:r>
      <w:r w:rsidR="00C048AE">
        <w:rPr>
          <w:sz w:val="20"/>
          <w:szCs w:val="20"/>
        </w:rPr>
        <w:t xml:space="preserve"> Technickej univerzity v Košiciach, UK Katolíckej univerzity UK, U</w:t>
      </w:r>
      <w:r w:rsidR="0073043A">
        <w:rPr>
          <w:sz w:val="20"/>
          <w:szCs w:val="20"/>
        </w:rPr>
        <w:t>K</w:t>
      </w:r>
      <w:r w:rsidR="00C048AE">
        <w:rPr>
          <w:sz w:val="20"/>
          <w:szCs w:val="20"/>
        </w:rPr>
        <w:t xml:space="preserve"> Slovenskej poľnohospodárskej univerzity v Nitre ai)</w:t>
      </w:r>
      <w:r w:rsidR="00686E47" w:rsidRPr="00111776">
        <w:rPr>
          <w:sz w:val="20"/>
          <w:szCs w:val="20"/>
        </w:rPr>
        <w:t>.</w:t>
      </w:r>
      <w:r w:rsidR="00C275C0">
        <w:rPr>
          <w:sz w:val="20"/>
          <w:szCs w:val="20"/>
        </w:rPr>
        <w:t xml:space="preserve"> Finančné náklady vynaložené na prevádzku AK odrážajú </w:t>
      </w:r>
      <w:r w:rsidR="00C275C0">
        <w:rPr>
          <w:sz w:val="20"/>
          <w:szCs w:val="20"/>
        </w:rPr>
        <w:lastRenderedPageBreak/>
        <w:t xml:space="preserve">túto realitu a skresľujú </w:t>
      </w:r>
      <w:r w:rsidR="0073043A">
        <w:rPr>
          <w:sz w:val="20"/>
          <w:szCs w:val="20"/>
        </w:rPr>
        <w:t xml:space="preserve">tak </w:t>
      </w:r>
      <w:r w:rsidR="00C275C0">
        <w:rPr>
          <w:sz w:val="20"/>
          <w:szCs w:val="20"/>
        </w:rPr>
        <w:t xml:space="preserve">celkový obraz o financovaní AK, keďže väčšina </w:t>
      </w:r>
      <w:r w:rsidR="0073043A">
        <w:rPr>
          <w:sz w:val="20"/>
          <w:szCs w:val="20"/>
        </w:rPr>
        <w:t>knižníc</w:t>
      </w:r>
      <w:r w:rsidR="00C275C0">
        <w:rPr>
          <w:sz w:val="20"/>
          <w:szCs w:val="20"/>
        </w:rPr>
        <w:t xml:space="preserve"> prostriedky súvisiace so základnou prevádzkou zariadenia (energie, upratovanie, ostatné poplatky spojené s</w:t>
      </w:r>
      <w:r w:rsidR="0073043A">
        <w:rPr>
          <w:sz w:val="20"/>
          <w:szCs w:val="20"/>
        </w:rPr>
        <w:t xml:space="preserve"> </w:t>
      </w:r>
      <w:r w:rsidR="00C275C0">
        <w:rPr>
          <w:sz w:val="20"/>
          <w:szCs w:val="20"/>
        </w:rPr>
        <w:t>pr</w:t>
      </w:r>
      <w:r w:rsidR="0073043A">
        <w:rPr>
          <w:sz w:val="20"/>
          <w:szCs w:val="20"/>
        </w:rPr>
        <w:t>e</w:t>
      </w:r>
      <w:r w:rsidR="00C275C0">
        <w:rPr>
          <w:sz w:val="20"/>
          <w:szCs w:val="20"/>
        </w:rPr>
        <w:t xml:space="preserve">vádzkou). </w:t>
      </w:r>
      <w:r w:rsidR="00686E47" w:rsidRPr="00111776">
        <w:rPr>
          <w:sz w:val="20"/>
          <w:szCs w:val="20"/>
        </w:rPr>
        <w:t xml:space="preserve"> Z tohto dôvodu sa nedá zhodnotiť, či finančné náklady spojené s prevádzkou akademických knižníc dosahujú percentuálne podiely</w:t>
      </w:r>
      <w:r w:rsidR="000B4486">
        <w:rPr>
          <w:sz w:val="20"/>
          <w:szCs w:val="20"/>
        </w:rPr>
        <w:t xml:space="preserve"> odporúčané medzinárodnými štandardami </w:t>
      </w:r>
      <w:r w:rsidR="00686E47" w:rsidRPr="00111776">
        <w:rPr>
          <w:sz w:val="20"/>
          <w:szCs w:val="20"/>
        </w:rPr>
        <w:t>pre akademické knižnice</w:t>
      </w:r>
      <w:r w:rsidR="00E53C1D" w:rsidRPr="00111776">
        <w:rPr>
          <w:sz w:val="20"/>
          <w:szCs w:val="20"/>
        </w:rPr>
        <w:t xml:space="preserve"> t.j.</w:t>
      </w:r>
      <w:r w:rsidRPr="00111776">
        <w:rPr>
          <w:sz w:val="20"/>
          <w:szCs w:val="20"/>
        </w:rPr>
        <w:t xml:space="preserve"> </w:t>
      </w:r>
      <w:r w:rsidRPr="00C275C0">
        <w:rPr>
          <w:b/>
          <w:sz w:val="20"/>
          <w:szCs w:val="20"/>
        </w:rPr>
        <w:t>5-10% z celkového prevádzkového rozpočtu zriaďovateľskej inštitúcie</w:t>
      </w:r>
      <w:r w:rsidRPr="00111776">
        <w:rPr>
          <w:sz w:val="20"/>
          <w:szCs w:val="20"/>
        </w:rPr>
        <w:t xml:space="preserve"> – vysokej školy. </w:t>
      </w:r>
    </w:p>
    <w:p w:rsidR="00073C8E" w:rsidRPr="00111776" w:rsidRDefault="00073C8E" w:rsidP="007A7CAF">
      <w:pPr>
        <w:pStyle w:val="Popis"/>
        <w:keepNext/>
        <w:jc w:val="center"/>
        <w:rPr>
          <w:rFonts w:asciiTheme="minorHAnsi" w:hAnsiTheme="minorHAnsi"/>
        </w:rPr>
      </w:pPr>
      <w:r w:rsidRPr="00111776">
        <w:rPr>
          <w:rFonts w:asciiTheme="minorHAnsi" w:hAnsiTheme="minorHAnsi"/>
        </w:rPr>
        <w:t xml:space="preserve">Tabuľka </w:t>
      </w:r>
      <w:r w:rsidR="00D906DF" w:rsidRPr="00111776">
        <w:rPr>
          <w:rFonts w:asciiTheme="minorHAnsi" w:hAnsiTheme="minorHAnsi"/>
        </w:rPr>
        <w:fldChar w:fldCharType="begin"/>
      </w:r>
      <w:r w:rsidR="000B63D7" w:rsidRPr="00111776">
        <w:rPr>
          <w:rFonts w:asciiTheme="minorHAnsi" w:hAnsiTheme="minorHAnsi"/>
        </w:rPr>
        <w:instrText xml:space="preserve"> SEQ Tabuľka \* ARABIC </w:instrText>
      </w:r>
      <w:r w:rsidR="00D906DF" w:rsidRPr="00111776">
        <w:rPr>
          <w:rFonts w:asciiTheme="minorHAnsi" w:hAnsiTheme="minorHAnsi"/>
        </w:rPr>
        <w:fldChar w:fldCharType="separate"/>
      </w:r>
      <w:r w:rsidR="00243109" w:rsidRPr="00111776">
        <w:rPr>
          <w:rFonts w:asciiTheme="minorHAnsi" w:hAnsiTheme="minorHAnsi"/>
          <w:noProof/>
        </w:rPr>
        <w:t>9</w:t>
      </w:r>
      <w:r w:rsidR="00D906DF" w:rsidRPr="00111776">
        <w:rPr>
          <w:rFonts w:asciiTheme="minorHAnsi" w:hAnsiTheme="minorHAnsi"/>
        </w:rPr>
        <w:fldChar w:fldCharType="end"/>
      </w:r>
      <w:r w:rsidRPr="00111776">
        <w:rPr>
          <w:rFonts w:asciiTheme="minorHAnsi" w:hAnsiTheme="minorHAnsi"/>
        </w:rPr>
        <w:t>: Finančné náklady AK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308"/>
        <w:gridCol w:w="1202"/>
        <w:gridCol w:w="1364"/>
        <w:gridCol w:w="1324"/>
        <w:gridCol w:w="1324"/>
      </w:tblGrid>
      <w:tr w:rsidR="00073C8E" w:rsidRPr="00111776" w:rsidTr="00EC18D1">
        <w:trPr>
          <w:jc w:val="center"/>
        </w:trPr>
        <w:tc>
          <w:tcPr>
            <w:tcW w:w="2198" w:type="dxa"/>
          </w:tcPr>
          <w:p w:rsidR="00073C8E" w:rsidRPr="00111776" w:rsidRDefault="00073C8E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 EUR</w:t>
            </w:r>
          </w:p>
        </w:tc>
        <w:tc>
          <w:tcPr>
            <w:tcW w:w="1308" w:type="dxa"/>
            <w:vAlign w:val="center"/>
          </w:tcPr>
          <w:p w:rsidR="00073C8E" w:rsidRPr="00111776" w:rsidRDefault="00073C8E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Verejné VŠ</w:t>
            </w:r>
          </w:p>
        </w:tc>
        <w:tc>
          <w:tcPr>
            <w:tcW w:w="1202" w:type="dxa"/>
          </w:tcPr>
          <w:p w:rsidR="00073C8E" w:rsidRPr="00111776" w:rsidRDefault="00073C8E" w:rsidP="00EC18D1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Štátne VŠ</w:t>
            </w:r>
          </w:p>
        </w:tc>
        <w:tc>
          <w:tcPr>
            <w:tcW w:w="1364" w:type="dxa"/>
          </w:tcPr>
          <w:p w:rsidR="00073C8E" w:rsidRPr="00111776" w:rsidRDefault="00073C8E" w:rsidP="005E7EFB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Súkromné VŠ</w:t>
            </w:r>
          </w:p>
        </w:tc>
        <w:tc>
          <w:tcPr>
            <w:tcW w:w="1324" w:type="dxa"/>
            <w:vAlign w:val="center"/>
          </w:tcPr>
          <w:p w:rsidR="00073C8E" w:rsidRPr="00111776" w:rsidRDefault="00073C8E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r.2012</w:t>
            </w:r>
          </w:p>
        </w:tc>
        <w:tc>
          <w:tcPr>
            <w:tcW w:w="1324" w:type="dxa"/>
            <w:vAlign w:val="center"/>
          </w:tcPr>
          <w:p w:rsidR="00073C8E" w:rsidRPr="00A4008C" w:rsidRDefault="00073C8E" w:rsidP="00C07033">
            <w:pPr>
              <w:rPr>
                <w:b/>
                <w:sz w:val="20"/>
                <w:szCs w:val="20"/>
              </w:rPr>
            </w:pPr>
            <w:r w:rsidRPr="00A4008C">
              <w:rPr>
                <w:b/>
                <w:sz w:val="20"/>
                <w:szCs w:val="20"/>
              </w:rPr>
              <w:t>r.2013</w:t>
            </w:r>
          </w:p>
        </w:tc>
      </w:tr>
      <w:tr w:rsidR="00073C8E" w:rsidRPr="00111776" w:rsidTr="00EC18D1">
        <w:trPr>
          <w:jc w:val="center"/>
        </w:trPr>
        <w:tc>
          <w:tcPr>
            <w:tcW w:w="2198" w:type="dxa"/>
          </w:tcPr>
          <w:p w:rsidR="00073C8E" w:rsidRPr="00111776" w:rsidRDefault="00073C8E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Celkové fin. náklady </w:t>
            </w:r>
          </w:p>
        </w:tc>
        <w:tc>
          <w:tcPr>
            <w:tcW w:w="1308" w:type="dxa"/>
            <w:vAlign w:val="center"/>
          </w:tcPr>
          <w:p w:rsidR="00073C8E" w:rsidRPr="00111776" w:rsidRDefault="00073C8E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6 302 300</w:t>
            </w:r>
          </w:p>
        </w:tc>
        <w:tc>
          <w:tcPr>
            <w:tcW w:w="1202" w:type="dxa"/>
          </w:tcPr>
          <w:p w:rsidR="00073C8E" w:rsidRPr="00111776" w:rsidRDefault="00073C8E" w:rsidP="00EC18D1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247 857,00</w:t>
            </w:r>
          </w:p>
        </w:tc>
        <w:tc>
          <w:tcPr>
            <w:tcW w:w="1364" w:type="dxa"/>
          </w:tcPr>
          <w:p w:rsidR="00073C8E" w:rsidRPr="00111776" w:rsidRDefault="00073C8E" w:rsidP="005E7EFB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404 954,00</w:t>
            </w:r>
          </w:p>
        </w:tc>
        <w:tc>
          <w:tcPr>
            <w:tcW w:w="1324" w:type="dxa"/>
            <w:vAlign w:val="center"/>
          </w:tcPr>
          <w:p w:rsidR="00073C8E" w:rsidRPr="00111776" w:rsidRDefault="00073C8E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6 523 157,00</w:t>
            </w:r>
          </w:p>
        </w:tc>
        <w:tc>
          <w:tcPr>
            <w:tcW w:w="1324" w:type="dxa"/>
          </w:tcPr>
          <w:p w:rsidR="00073C8E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6 955 111,00</w:t>
            </w:r>
          </w:p>
        </w:tc>
      </w:tr>
      <w:tr w:rsidR="00073C8E" w:rsidRPr="00111776" w:rsidTr="00EC18D1">
        <w:trPr>
          <w:jc w:val="center"/>
        </w:trPr>
        <w:tc>
          <w:tcPr>
            <w:tcW w:w="2198" w:type="dxa"/>
          </w:tcPr>
          <w:p w:rsidR="00073C8E" w:rsidRPr="00111776" w:rsidRDefault="00073C8E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knižnicu</w:t>
            </w:r>
          </w:p>
        </w:tc>
        <w:tc>
          <w:tcPr>
            <w:tcW w:w="1308" w:type="dxa"/>
            <w:vAlign w:val="center"/>
          </w:tcPr>
          <w:p w:rsidR="00073C8E" w:rsidRPr="00111776" w:rsidRDefault="00EC18D1" w:rsidP="00EC18D1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242 396,15</w:t>
            </w:r>
          </w:p>
        </w:tc>
        <w:tc>
          <w:tcPr>
            <w:tcW w:w="1202" w:type="dxa"/>
          </w:tcPr>
          <w:p w:rsidR="00073C8E" w:rsidRPr="00111776" w:rsidRDefault="00EC18D1" w:rsidP="00EC18D1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82 619,00</w:t>
            </w:r>
          </w:p>
        </w:tc>
        <w:tc>
          <w:tcPr>
            <w:tcW w:w="1364" w:type="dxa"/>
          </w:tcPr>
          <w:p w:rsidR="00073C8E" w:rsidRPr="00111776" w:rsidRDefault="00EC18D1" w:rsidP="005E7EFB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36 814,00</w:t>
            </w:r>
          </w:p>
        </w:tc>
        <w:tc>
          <w:tcPr>
            <w:tcW w:w="1324" w:type="dxa"/>
            <w:vAlign w:val="center"/>
          </w:tcPr>
          <w:p w:rsidR="00073C8E" w:rsidRPr="00111776" w:rsidRDefault="00073C8E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163 078,92</w:t>
            </w:r>
          </w:p>
        </w:tc>
        <w:tc>
          <w:tcPr>
            <w:tcW w:w="1324" w:type="dxa"/>
          </w:tcPr>
          <w:p w:rsidR="00073C8E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173 877,77</w:t>
            </w:r>
          </w:p>
        </w:tc>
      </w:tr>
      <w:tr w:rsidR="00073C8E" w:rsidRPr="00111776" w:rsidTr="00EC18D1">
        <w:trPr>
          <w:jc w:val="center"/>
        </w:trPr>
        <w:tc>
          <w:tcPr>
            <w:tcW w:w="2198" w:type="dxa"/>
          </w:tcPr>
          <w:p w:rsidR="00073C8E" w:rsidRPr="00111776" w:rsidRDefault="00073C8E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mzdové náklady spolu</w:t>
            </w:r>
          </w:p>
        </w:tc>
        <w:tc>
          <w:tcPr>
            <w:tcW w:w="1308" w:type="dxa"/>
            <w:vAlign w:val="center"/>
          </w:tcPr>
          <w:p w:rsidR="00073C8E" w:rsidRPr="00111776" w:rsidRDefault="00073C8E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4 296 799,00</w:t>
            </w:r>
          </w:p>
        </w:tc>
        <w:tc>
          <w:tcPr>
            <w:tcW w:w="1202" w:type="dxa"/>
          </w:tcPr>
          <w:p w:rsidR="00073C8E" w:rsidRPr="00111776" w:rsidRDefault="00073C8E" w:rsidP="00EC18D1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227 308,00</w:t>
            </w:r>
          </w:p>
        </w:tc>
        <w:tc>
          <w:tcPr>
            <w:tcW w:w="1364" w:type="dxa"/>
          </w:tcPr>
          <w:p w:rsidR="00073C8E" w:rsidRPr="00111776" w:rsidRDefault="00073C8E" w:rsidP="005E7EFB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289 475,00</w:t>
            </w:r>
          </w:p>
        </w:tc>
        <w:tc>
          <w:tcPr>
            <w:tcW w:w="1324" w:type="dxa"/>
            <w:vAlign w:val="center"/>
          </w:tcPr>
          <w:p w:rsidR="00073C8E" w:rsidRPr="00111776" w:rsidRDefault="00073C8E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4 611 977,00</w:t>
            </w:r>
          </w:p>
        </w:tc>
        <w:tc>
          <w:tcPr>
            <w:tcW w:w="1324" w:type="dxa"/>
          </w:tcPr>
          <w:p w:rsidR="00073C8E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4 813 582,00</w:t>
            </w:r>
          </w:p>
        </w:tc>
      </w:tr>
      <w:tr w:rsidR="00073C8E" w:rsidRPr="00111776" w:rsidTr="00EC18D1">
        <w:trPr>
          <w:jc w:val="center"/>
        </w:trPr>
        <w:tc>
          <w:tcPr>
            <w:tcW w:w="2198" w:type="dxa"/>
          </w:tcPr>
          <w:p w:rsidR="00073C8E" w:rsidRPr="00111776" w:rsidRDefault="00073C8E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na 1 </w:t>
            </w:r>
            <w:proofErr w:type="spellStart"/>
            <w:r w:rsidRPr="00111776">
              <w:rPr>
                <w:sz w:val="20"/>
                <w:szCs w:val="20"/>
              </w:rPr>
              <w:t>prep</w:t>
            </w:r>
            <w:proofErr w:type="spellEnd"/>
            <w:r w:rsidRPr="00111776">
              <w:rPr>
                <w:sz w:val="20"/>
                <w:szCs w:val="20"/>
              </w:rPr>
              <w:t xml:space="preserve">. </w:t>
            </w:r>
            <w:proofErr w:type="spellStart"/>
            <w:r w:rsidRPr="00111776">
              <w:rPr>
                <w:sz w:val="20"/>
                <w:szCs w:val="20"/>
              </w:rPr>
              <w:t>zamest</w:t>
            </w:r>
            <w:proofErr w:type="spellEnd"/>
            <w:r w:rsidRPr="00111776">
              <w:rPr>
                <w:sz w:val="20"/>
                <w:szCs w:val="20"/>
              </w:rPr>
              <w:t>./rok</w:t>
            </w:r>
          </w:p>
        </w:tc>
        <w:tc>
          <w:tcPr>
            <w:tcW w:w="1308" w:type="dxa"/>
            <w:vAlign w:val="center"/>
          </w:tcPr>
          <w:p w:rsidR="00073C8E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8 063,05</w:t>
            </w:r>
          </w:p>
        </w:tc>
        <w:tc>
          <w:tcPr>
            <w:tcW w:w="1202" w:type="dxa"/>
          </w:tcPr>
          <w:p w:rsidR="00073C8E" w:rsidRPr="00111776" w:rsidRDefault="00EC18D1" w:rsidP="00EC18D1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8 914,03</w:t>
            </w:r>
          </w:p>
        </w:tc>
        <w:tc>
          <w:tcPr>
            <w:tcW w:w="1364" w:type="dxa"/>
          </w:tcPr>
          <w:p w:rsidR="00073C8E" w:rsidRPr="00111776" w:rsidRDefault="00EC18D1" w:rsidP="005E7EFB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9 490,98</w:t>
            </w:r>
          </w:p>
        </w:tc>
        <w:tc>
          <w:tcPr>
            <w:tcW w:w="1324" w:type="dxa"/>
            <w:vAlign w:val="center"/>
          </w:tcPr>
          <w:p w:rsidR="00073C8E" w:rsidRPr="00111776" w:rsidRDefault="00073C8E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7 940,73</w:t>
            </w:r>
          </w:p>
        </w:tc>
        <w:tc>
          <w:tcPr>
            <w:tcW w:w="1324" w:type="dxa"/>
          </w:tcPr>
          <w:p w:rsidR="00073C8E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7 917,08</w:t>
            </w:r>
          </w:p>
        </w:tc>
      </w:tr>
      <w:tr w:rsidR="00073C8E" w:rsidRPr="00111776" w:rsidTr="00EC18D1">
        <w:trPr>
          <w:jc w:val="center"/>
        </w:trPr>
        <w:tc>
          <w:tcPr>
            <w:tcW w:w="2198" w:type="dxa"/>
          </w:tcPr>
          <w:p w:rsidR="00073C8E" w:rsidRPr="00111776" w:rsidRDefault="00073C8E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nákup licencií a databáz</w:t>
            </w:r>
          </w:p>
        </w:tc>
        <w:tc>
          <w:tcPr>
            <w:tcW w:w="1308" w:type="dxa"/>
            <w:vAlign w:val="center"/>
          </w:tcPr>
          <w:p w:rsidR="00073C8E" w:rsidRPr="00111776" w:rsidRDefault="00073C8E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220 427,00</w:t>
            </w:r>
          </w:p>
        </w:tc>
        <w:tc>
          <w:tcPr>
            <w:tcW w:w="1202" w:type="dxa"/>
          </w:tcPr>
          <w:p w:rsidR="00073C8E" w:rsidRPr="00111776" w:rsidRDefault="00073C8E" w:rsidP="00EC18D1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695,00</w:t>
            </w:r>
          </w:p>
        </w:tc>
        <w:tc>
          <w:tcPr>
            <w:tcW w:w="1364" w:type="dxa"/>
          </w:tcPr>
          <w:p w:rsidR="00073C8E" w:rsidRPr="00111776" w:rsidRDefault="005E7EFB" w:rsidP="005E7EFB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13 276,00</w:t>
            </w:r>
          </w:p>
        </w:tc>
        <w:tc>
          <w:tcPr>
            <w:tcW w:w="1324" w:type="dxa"/>
            <w:vAlign w:val="center"/>
          </w:tcPr>
          <w:p w:rsidR="00073C8E" w:rsidRPr="00111776" w:rsidRDefault="00073C8E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235 604,00</w:t>
            </w:r>
          </w:p>
        </w:tc>
        <w:tc>
          <w:tcPr>
            <w:tcW w:w="1324" w:type="dxa"/>
          </w:tcPr>
          <w:p w:rsidR="00073C8E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234 398,00</w:t>
            </w:r>
          </w:p>
        </w:tc>
      </w:tr>
      <w:tr w:rsidR="005E7EFB" w:rsidRPr="00111776" w:rsidTr="00EC18D1">
        <w:trPr>
          <w:jc w:val="center"/>
        </w:trPr>
        <w:tc>
          <w:tcPr>
            <w:tcW w:w="2198" w:type="dxa"/>
          </w:tcPr>
          <w:p w:rsidR="005E7EFB" w:rsidRPr="00111776" w:rsidRDefault="005E7EFB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knižnicu</w:t>
            </w:r>
          </w:p>
        </w:tc>
        <w:tc>
          <w:tcPr>
            <w:tcW w:w="1308" w:type="dxa"/>
            <w:vAlign w:val="center"/>
          </w:tcPr>
          <w:p w:rsidR="005E7EFB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8 477,96</w:t>
            </w:r>
          </w:p>
        </w:tc>
        <w:tc>
          <w:tcPr>
            <w:tcW w:w="1202" w:type="dxa"/>
          </w:tcPr>
          <w:p w:rsidR="005E7EFB" w:rsidRPr="00111776" w:rsidRDefault="00EC18D1" w:rsidP="00EC18D1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231,66</w:t>
            </w:r>
          </w:p>
        </w:tc>
        <w:tc>
          <w:tcPr>
            <w:tcW w:w="1364" w:type="dxa"/>
          </w:tcPr>
          <w:p w:rsidR="005E7EFB" w:rsidRPr="00111776" w:rsidRDefault="00EC18D1" w:rsidP="005E7EFB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1 206,90</w:t>
            </w:r>
          </w:p>
        </w:tc>
        <w:tc>
          <w:tcPr>
            <w:tcW w:w="1324" w:type="dxa"/>
            <w:vAlign w:val="center"/>
          </w:tcPr>
          <w:p w:rsidR="005E7EFB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5 890,10</w:t>
            </w:r>
          </w:p>
        </w:tc>
        <w:tc>
          <w:tcPr>
            <w:tcW w:w="1324" w:type="dxa"/>
          </w:tcPr>
          <w:p w:rsidR="005E7EFB" w:rsidRPr="00111776" w:rsidRDefault="00EC18D1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5 859,95</w:t>
            </w:r>
          </w:p>
        </w:tc>
      </w:tr>
      <w:tr w:rsidR="00073C8E" w:rsidRPr="00111776" w:rsidTr="00EC18D1">
        <w:trPr>
          <w:jc w:val="center"/>
        </w:trPr>
        <w:tc>
          <w:tcPr>
            <w:tcW w:w="2198" w:type="dxa"/>
          </w:tcPr>
          <w:p w:rsidR="00073C8E" w:rsidRPr="00111776" w:rsidRDefault="00073C8E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príjmy knižníc </w:t>
            </w:r>
          </w:p>
        </w:tc>
        <w:tc>
          <w:tcPr>
            <w:tcW w:w="1308" w:type="dxa"/>
            <w:vAlign w:val="center"/>
          </w:tcPr>
          <w:p w:rsidR="00073C8E" w:rsidRPr="00111776" w:rsidRDefault="00073C8E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387 813,00</w:t>
            </w:r>
          </w:p>
        </w:tc>
        <w:tc>
          <w:tcPr>
            <w:tcW w:w="1202" w:type="dxa"/>
          </w:tcPr>
          <w:p w:rsidR="00073C8E" w:rsidRPr="00111776" w:rsidRDefault="00073C8E" w:rsidP="00EC18D1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2 426,00</w:t>
            </w:r>
          </w:p>
        </w:tc>
        <w:tc>
          <w:tcPr>
            <w:tcW w:w="1364" w:type="dxa"/>
          </w:tcPr>
          <w:p w:rsidR="00073C8E" w:rsidRPr="00111776" w:rsidRDefault="005E7EFB" w:rsidP="005E7EFB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7 906,00</w:t>
            </w:r>
          </w:p>
        </w:tc>
        <w:tc>
          <w:tcPr>
            <w:tcW w:w="1324" w:type="dxa"/>
            <w:vAlign w:val="center"/>
          </w:tcPr>
          <w:p w:rsidR="00073C8E" w:rsidRPr="00111776" w:rsidRDefault="00073C8E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543 309,00</w:t>
            </w:r>
          </w:p>
        </w:tc>
        <w:tc>
          <w:tcPr>
            <w:tcW w:w="1324" w:type="dxa"/>
          </w:tcPr>
          <w:p w:rsidR="00073C8E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398 145,00</w:t>
            </w:r>
          </w:p>
        </w:tc>
      </w:tr>
      <w:tr w:rsidR="00073C8E" w:rsidRPr="00111776" w:rsidTr="00EC18D1">
        <w:trPr>
          <w:jc w:val="center"/>
        </w:trPr>
        <w:tc>
          <w:tcPr>
            <w:tcW w:w="2198" w:type="dxa"/>
          </w:tcPr>
          <w:p w:rsidR="00073C8E" w:rsidRPr="00111776" w:rsidRDefault="00073C8E" w:rsidP="00C07033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z toho príjmy z grantov</w:t>
            </w:r>
          </w:p>
        </w:tc>
        <w:tc>
          <w:tcPr>
            <w:tcW w:w="1308" w:type="dxa"/>
            <w:vAlign w:val="center"/>
          </w:tcPr>
          <w:p w:rsidR="00073C8E" w:rsidRPr="00111776" w:rsidRDefault="00073C8E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95 679,00</w:t>
            </w:r>
          </w:p>
        </w:tc>
        <w:tc>
          <w:tcPr>
            <w:tcW w:w="1202" w:type="dxa"/>
          </w:tcPr>
          <w:p w:rsidR="00073C8E" w:rsidRPr="00111776" w:rsidRDefault="00073C8E" w:rsidP="00EC18D1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073C8E" w:rsidRPr="00111776" w:rsidRDefault="00073C8E" w:rsidP="005E7EFB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0,00</w:t>
            </w:r>
          </w:p>
        </w:tc>
        <w:tc>
          <w:tcPr>
            <w:tcW w:w="1324" w:type="dxa"/>
            <w:vAlign w:val="center"/>
          </w:tcPr>
          <w:p w:rsidR="00073C8E" w:rsidRPr="00111776" w:rsidRDefault="00073C8E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146 420,00</w:t>
            </w:r>
          </w:p>
        </w:tc>
        <w:tc>
          <w:tcPr>
            <w:tcW w:w="1324" w:type="dxa"/>
          </w:tcPr>
          <w:p w:rsidR="00073C8E" w:rsidRPr="00111776" w:rsidRDefault="005E7EFB" w:rsidP="00C07033">
            <w:pPr>
              <w:jc w:val="right"/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97 035,00</w:t>
            </w:r>
          </w:p>
        </w:tc>
      </w:tr>
    </w:tbl>
    <w:p w:rsidR="00073C8E" w:rsidRPr="00111776" w:rsidRDefault="00073C8E">
      <w:pPr>
        <w:rPr>
          <w:sz w:val="20"/>
          <w:szCs w:val="20"/>
        </w:rPr>
      </w:pPr>
    </w:p>
    <w:p w:rsidR="00C275C0" w:rsidRPr="00111776" w:rsidRDefault="00073C8E" w:rsidP="00073C8E">
      <w:pPr>
        <w:spacing w:before="120" w:after="0" w:line="360" w:lineRule="auto"/>
        <w:jc w:val="both"/>
        <w:rPr>
          <w:sz w:val="20"/>
          <w:szCs w:val="20"/>
        </w:rPr>
      </w:pPr>
      <w:r w:rsidRPr="00111776">
        <w:rPr>
          <w:sz w:val="20"/>
          <w:szCs w:val="20"/>
        </w:rPr>
        <w:t>Významnú úlohu vo financovaní AK hrá i dotačný program MK SR, v rámci ktorého sú pre knižnice vyčlenené dva operačné podprogramy a síce:  2.1 akvizícia knižníc a program 2.5 knižničná činnosť. Tieto umožňujú aj akademických knižniciam verejných vysokých škôl uchádzať sa grantovými žiadosťami o finančnú podporu svojej akvizície ako aj žiadať finančné prostriedky na získanie moderných informačných technológií potrebných na rozvoj nových inovatívnych služieb. Výsledky aktivít akademických knižníc sú zrejmé z tabuľky č. 11.</w:t>
      </w:r>
      <w:r w:rsidRPr="00111776">
        <w:rPr>
          <w:rStyle w:val="Odkaznapoznmkupodiarou"/>
          <w:sz w:val="20"/>
          <w:szCs w:val="20"/>
        </w:rPr>
        <w:footnoteReference w:id="8"/>
      </w:r>
    </w:p>
    <w:p w:rsidR="008066B2" w:rsidRPr="00111776" w:rsidRDefault="008066B2">
      <w:pPr>
        <w:rPr>
          <w:sz w:val="20"/>
          <w:szCs w:val="20"/>
        </w:rPr>
      </w:pPr>
    </w:p>
    <w:p w:rsidR="008066B2" w:rsidRPr="00111776" w:rsidRDefault="008066B2" w:rsidP="007A7CAF">
      <w:pPr>
        <w:pStyle w:val="Popis"/>
        <w:keepNext/>
        <w:jc w:val="center"/>
        <w:rPr>
          <w:rFonts w:asciiTheme="minorHAnsi" w:hAnsiTheme="minorHAnsi"/>
        </w:rPr>
      </w:pPr>
      <w:r w:rsidRPr="00111776">
        <w:rPr>
          <w:rFonts w:asciiTheme="minorHAnsi" w:hAnsiTheme="minorHAnsi"/>
        </w:rPr>
        <w:t>Tabuľka 11: Finančná podpora AK VVŠ v rámci dotačného programu MK SR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1251"/>
        <w:gridCol w:w="870"/>
        <w:gridCol w:w="915"/>
        <w:gridCol w:w="1251"/>
        <w:gridCol w:w="870"/>
        <w:gridCol w:w="870"/>
      </w:tblGrid>
      <w:tr w:rsidR="008066B2" w:rsidRPr="00111776" w:rsidTr="00C07033"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</w:rPr>
            </w:pPr>
            <w:r w:rsidRPr="00111776">
              <w:rPr>
                <w:rFonts w:asciiTheme="minorHAnsi" w:hAnsiTheme="minorHAnsi"/>
              </w:rPr>
              <w:t>Podprogram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</w:rPr>
            </w:pPr>
            <w:r w:rsidRPr="00111776">
              <w:rPr>
                <w:rFonts w:asciiTheme="minorHAnsi" w:hAnsiTheme="minorHAnsi"/>
              </w:rPr>
              <w:t>2.1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</w:rPr>
            </w:pPr>
            <w:r w:rsidRPr="00111776">
              <w:rPr>
                <w:rFonts w:asciiTheme="minorHAnsi" w:hAnsiTheme="minorHAnsi"/>
              </w:rPr>
              <w:t xml:space="preserve">Podprogram 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</w:rPr>
            </w:pPr>
            <w:r w:rsidRPr="00111776">
              <w:rPr>
                <w:rFonts w:asciiTheme="minorHAnsi" w:hAnsiTheme="minorHAnsi"/>
              </w:rPr>
              <w:t>2.5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</w:p>
        </w:tc>
      </w:tr>
      <w:tr w:rsidR="008066B2" w:rsidRPr="00111776" w:rsidTr="00C07033"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Rok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2011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2012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2013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2011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2012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2013</w:t>
            </w:r>
          </w:p>
        </w:tc>
      </w:tr>
      <w:tr w:rsidR="008066B2" w:rsidRPr="00111776" w:rsidTr="00C07033"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Celková dotácia na podprogram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157 975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200 000</w:t>
            </w:r>
          </w:p>
        </w:tc>
        <w:tc>
          <w:tcPr>
            <w:tcW w:w="0" w:type="auto"/>
          </w:tcPr>
          <w:p w:rsidR="008066B2" w:rsidRPr="00111776" w:rsidRDefault="002057E9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198 787 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342 025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350 000</w:t>
            </w:r>
          </w:p>
        </w:tc>
        <w:tc>
          <w:tcPr>
            <w:tcW w:w="0" w:type="auto"/>
          </w:tcPr>
          <w:p w:rsidR="008066B2" w:rsidRPr="00111776" w:rsidRDefault="00073C8E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346 553</w:t>
            </w:r>
          </w:p>
        </w:tc>
      </w:tr>
      <w:tr w:rsidR="008066B2" w:rsidRPr="00111776" w:rsidTr="00C07033"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Počet žiadostí AK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8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6</w:t>
            </w:r>
          </w:p>
        </w:tc>
        <w:tc>
          <w:tcPr>
            <w:tcW w:w="0" w:type="auto"/>
          </w:tcPr>
          <w:p w:rsidR="008066B2" w:rsidRPr="00111776" w:rsidRDefault="002057E9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8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18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15</w:t>
            </w:r>
          </w:p>
        </w:tc>
        <w:tc>
          <w:tcPr>
            <w:tcW w:w="0" w:type="auto"/>
          </w:tcPr>
          <w:p w:rsidR="008066B2" w:rsidRPr="00111776" w:rsidRDefault="00073C8E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15</w:t>
            </w:r>
          </w:p>
        </w:tc>
      </w:tr>
      <w:tr w:rsidR="008066B2" w:rsidRPr="00111776" w:rsidTr="00C07033"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Počet podporených žiadostí AK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2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4</w:t>
            </w:r>
          </w:p>
        </w:tc>
        <w:tc>
          <w:tcPr>
            <w:tcW w:w="0" w:type="auto"/>
          </w:tcPr>
          <w:p w:rsidR="008066B2" w:rsidRPr="00111776" w:rsidRDefault="002057E9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16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15</w:t>
            </w:r>
          </w:p>
        </w:tc>
        <w:tc>
          <w:tcPr>
            <w:tcW w:w="0" w:type="auto"/>
          </w:tcPr>
          <w:p w:rsidR="008066B2" w:rsidRPr="00111776" w:rsidRDefault="00073C8E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15</w:t>
            </w:r>
          </w:p>
        </w:tc>
      </w:tr>
      <w:tr w:rsidR="008066B2" w:rsidRPr="00111776" w:rsidTr="00C07033"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Poskytnutá dotácia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19 525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 xml:space="preserve"> 19 480</w:t>
            </w:r>
          </w:p>
        </w:tc>
        <w:tc>
          <w:tcPr>
            <w:tcW w:w="0" w:type="auto"/>
          </w:tcPr>
          <w:p w:rsidR="008066B2" w:rsidRPr="00111776" w:rsidRDefault="002057E9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22 664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28 865</w:t>
            </w:r>
          </w:p>
        </w:tc>
        <w:tc>
          <w:tcPr>
            <w:tcW w:w="0" w:type="auto"/>
          </w:tcPr>
          <w:p w:rsidR="008066B2" w:rsidRPr="00111776" w:rsidRDefault="008066B2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50 110</w:t>
            </w:r>
          </w:p>
        </w:tc>
        <w:tc>
          <w:tcPr>
            <w:tcW w:w="0" w:type="auto"/>
          </w:tcPr>
          <w:p w:rsidR="008066B2" w:rsidRPr="00111776" w:rsidRDefault="00073C8E" w:rsidP="00C07033">
            <w:pPr>
              <w:pStyle w:val="Popis"/>
              <w:keepNext/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111776">
              <w:rPr>
                <w:rFonts w:asciiTheme="minorHAnsi" w:hAnsiTheme="minorHAnsi"/>
                <w:b w:val="0"/>
              </w:rPr>
              <w:t>30 153</w:t>
            </w:r>
          </w:p>
        </w:tc>
      </w:tr>
    </w:tbl>
    <w:p w:rsidR="002B10F6" w:rsidRDefault="002B10F6" w:rsidP="002B10F6">
      <w:pPr>
        <w:spacing w:before="120" w:after="120" w:line="240" w:lineRule="auto"/>
        <w:contextualSpacing/>
        <w:jc w:val="both"/>
        <w:rPr>
          <w:b/>
          <w:sz w:val="20"/>
          <w:szCs w:val="20"/>
        </w:rPr>
      </w:pPr>
    </w:p>
    <w:p w:rsidR="009E2B3C" w:rsidRDefault="009E2B3C" w:rsidP="002B10F6">
      <w:pPr>
        <w:spacing w:before="120" w:after="120" w:line="240" w:lineRule="auto"/>
        <w:contextualSpacing/>
        <w:jc w:val="both"/>
        <w:rPr>
          <w:b/>
          <w:sz w:val="20"/>
          <w:szCs w:val="20"/>
        </w:rPr>
      </w:pPr>
    </w:p>
    <w:p w:rsidR="009E2B3C" w:rsidRDefault="009E2B3C" w:rsidP="002B10F6">
      <w:pPr>
        <w:spacing w:before="120" w:after="120" w:line="240" w:lineRule="auto"/>
        <w:contextualSpacing/>
        <w:jc w:val="both"/>
        <w:rPr>
          <w:b/>
          <w:sz w:val="20"/>
          <w:szCs w:val="20"/>
        </w:rPr>
      </w:pPr>
    </w:p>
    <w:p w:rsidR="009E2B3C" w:rsidRDefault="009E2B3C" w:rsidP="002B10F6">
      <w:pPr>
        <w:spacing w:before="120" w:after="120" w:line="240" w:lineRule="auto"/>
        <w:contextualSpacing/>
        <w:jc w:val="both"/>
        <w:rPr>
          <w:b/>
          <w:sz w:val="20"/>
          <w:szCs w:val="20"/>
        </w:rPr>
      </w:pPr>
    </w:p>
    <w:p w:rsidR="00461522" w:rsidRPr="002B10F6" w:rsidRDefault="00461522" w:rsidP="002B10F6">
      <w:pPr>
        <w:spacing w:before="120" w:after="120" w:line="240" w:lineRule="auto"/>
        <w:contextualSpacing/>
        <w:jc w:val="both"/>
        <w:rPr>
          <w:sz w:val="20"/>
          <w:szCs w:val="20"/>
        </w:rPr>
      </w:pPr>
      <w:r w:rsidRPr="002B10F6">
        <w:rPr>
          <w:b/>
          <w:sz w:val="20"/>
          <w:szCs w:val="20"/>
        </w:rPr>
        <w:lastRenderedPageBreak/>
        <w:t>Prehľad databáz zakúpených z vlastných prostriedkov AK v r. 2013</w:t>
      </w:r>
    </w:p>
    <w:tbl>
      <w:tblPr>
        <w:tblW w:w="880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74"/>
        <w:gridCol w:w="2126"/>
        <w:gridCol w:w="1701"/>
      </w:tblGrid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názov db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AK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American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Chemical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Society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Collection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APS online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Journals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ŽU Žilina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ASCE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StavF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Bibliomedica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UPJŠ Košice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Biomedical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Life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Sciences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Collection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UPJŠ Košice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Insights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: Essentials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EU 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CAB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abstracts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TU Zvolen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CRCnetBase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ŽU Žilina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e-books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EBSCO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e-books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Wiley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ebrary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Academic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TRUNI Trnava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ebrary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&amp;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UMB Banská Bystrica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e-knihy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z db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ebrary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trvalá akvizícia 23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titl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E25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Elektronische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Zeitschriftenbibliothek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(EZB)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4E25A6"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EU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Emerald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ŽU Žilina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Emerald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Emerging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Markets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Case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UMB Banská Bystrica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Emerald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e-Journals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UMB Banská Bystrica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Village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REFEREX-Electronic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ans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Electrical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ŽU Žilina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E25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Village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REFEREX-Materials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Mechanical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E25A6"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ng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ŽU Žilina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European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Pharmacopoeia-online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IOP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FEI STU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IOP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Physics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UKF Nitra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JSTOR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JSTOR: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Arts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&amp;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Sciences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Collection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TRUNI Trnava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JSTOR: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Arts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&amp;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Sciences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TRUNI Trnava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KU Ružomberok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JSTOR: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Ecology&amp;Botany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Collection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TU Zvolen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Kumar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Clark's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Clinical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Medicine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Lexicomp - db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Naviga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TU Zvolen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Palgrave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Dictionary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Oline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EU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Oxford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Journals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ProQuest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UMB Banská Bystrica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STN Online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STU všetky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fak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Merck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Index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VS</w:t>
            </w:r>
            <w:r w:rsidR="004E25A6"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UMB Banská Bystrica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522" w:rsidRPr="00111776" w:rsidTr="004E25A6">
        <w:trPr>
          <w:trHeight w:val="28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Zentralblatt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für</w:t>
            </w:r>
            <w:proofErr w:type="spellEnd"/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Chirurgie.....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UK 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1522" w:rsidRPr="00111776" w:rsidRDefault="00461522" w:rsidP="004615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61522" w:rsidRPr="00111776" w:rsidRDefault="00461522">
      <w:pPr>
        <w:rPr>
          <w:sz w:val="20"/>
          <w:szCs w:val="20"/>
        </w:rPr>
      </w:pPr>
    </w:p>
    <w:p w:rsidR="009839B9" w:rsidRPr="0051285C" w:rsidRDefault="009839B9" w:rsidP="009839B9">
      <w:pPr>
        <w:rPr>
          <w:b/>
          <w:caps/>
          <w:sz w:val="20"/>
          <w:szCs w:val="20"/>
        </w:rPr>
      </w:pPr>
      <w:r w:rsidRPr="0051285C">
        <w:rPr>
          <w:b/>
          <w:caps/>
          <w:sz w:val="20"/>
          <w:szCs w:val="20"/>
        </w:rPr>
        <w:t>Činnosť metodického centra Slovenskej pedagogickej knižnice pre akademické knižnice</w:t>
      </w:r>
    </w:p>
    <w:p w:rsidR="009839B9" w:rsidRPr="0051285C" w:rsidRDefault="009839B9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Slovenská pedagogická knižnica  na základe výsledkov spolupráce so sekciou akademických knižníc Slovenskej asociácie knižníc (SAK) vyt</w:t>
      </w:r>
      <w:r w:rsidR="002B10F6">
        <w:rPr>
          <w:sz w:val="20"/>
          <w:szCs w:val="20"/>
        </w:rPr>
        <w:t>vorila v roku</w:t>
      </w:r>
      <w:r w:rsidRPr="0051285C">
        <w:rPr>
          <w:sz w:val="20"/>
          <w:szCs w:val="20"/>
        </w:rPr>
        <w:t xml:space="preserve"> 2009 samostatné pracovné miesto pre oblasť metodiky AK,  v rámci ktorého zabezpečujú túto činnosť externé pracovníčky z prostredia akademických knižníc (PhDr. Daniela Džuganová, riaditeľka Univerzitnej knižnice UPJŠ v Košiciach a PhDr. Mária Kadnárová, riaditeľka Ústrednej </w:t>
      </w:r>
      <w:r w:rsidRPr="0051285C">
        <w:rPr>
          <w:sz w:val="20"/>
          <w:szCs w:val="20"/>
        </w:rPr>
        <w:lastRenderedPageBreak/>
        <w:t>knižnice Farmaceutickej fakulty UK v Bratislave)  čo sa prejavilo zintenzívnením pôsobnosti SPK aj v tejto oblasti (podotýkame, že v rozsahu polovičného úväzku).</w:t>
      </w:r>
    </w:p>
    <w:p w:rsidR="009839B9" w:rsidRPr="0051285C" w:rsidRDefault="009839B9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Metodická činnosť pre sieť akademických knižníc je v súčasnosti zameraná na nasledujúce oblasti:</w:t>
      </w:r>
    </w:p>
    <w:p w:rsidR="009839B9" w:rsidRPr="0051285C" w:rsidRDefault="009839B9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•</w:t>
      </w:r>
      <w:r w:rsidRPr="0051285C">
        <w:rPr>
          <w:sz w:val="20"/>
          <w:szCs w:val="20"/>
        </w:rPr>
        <w:tab/>
      </w:r>
      <w:r w:rsidR="000670A7">
        <w:rPr>
          <w:sz w:val="20"/>
          <w:szCs w:val="20"/>
        </w:rPr>
        <w:t>l</w:t>
      </w:r>
      <w:r w:rsidRPr="0051285C">
        <w:rPr>
          <w:sz w:val="20"/>
          <w:szCs w:val="20"/>
        </w:rPr>
        <w:t>egislatíva</w:t>
      </w:r>
    </w:p>
    <w:p w:rsidR="009839B9" w:rsidRPr="0051285C" w:rsidRDefault="009839B9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•</w:t>
      </w:r>
      <w:r w:rsidRPr="0051285C">
        <w:rPr>
          <w:sz w:val="20"/>
          <w:szCs w:val="20"/>
        </w:rPr>
        <w:tab/>
      </w:r>
      <w:r w:rsidR="000670A7">
        <w:rPr>
          <w:sz w:val="20"/>
          <w:szCs w:val="20"/>
        </w:rPr>
        <w:t>š</w:t>
      </w:r>
      <w:r w:rsidRPr="0051285C">
        <w:rPr>
          <w:sz w:val="20"/>
          <w:szCs w:val="20"/>
        </w:rPr>
        <w:t>tatistika akademických knižníc</w:t>
      </w:r>
    </w:p>
    <w:p w:rsidR="009839B9" w:rsidRPr="0051285C" w:rsidRDefault="009839B9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•</w:t>
      </w:r>
      <w:r w:rsidRPr="0051285C">
        <w:rPr>
          <w:sz w:val="20"/>
          <w:szCs w:val="20"/>
        </w:rPr>
        <w:tab/>
      </w:r>
      <w:r w:rsidR="000670A7">
        <w:rPr>
          <w:sz w:val="20"/>
          <w:szCs w:val="20"/>
        </w:rPr>
        <w:t>t</w:t>
      </w:r>
      <w:r w:rsidRPr="0051285C">
        <w:rPr>
          <w:sz w:val="20"/>
          <w:szCs w:val="20"/>
        </w:rPr>
        <w:t xml:space="preserve">vorba metodických usmernení  a odborné konzultácie pre akademické knižnice </w:t>
      </w:r>
    </w:p>
    <w:p w:rsidR="009839B9" w:rsidRPr="0051285C" w:rsidRDefault="009839B9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•</w:t>
      </w:r>
      <w:r w:rsidRPr="0051285C">
        <w:rPr>
          <w:sz w:val="20"/>
          <w:szCs w:val="20"/>
        </w:rPr>
        <w:tab/>
      </w:r>
      <w:r w:rsidR="000670A7">
        <w:rPr>
          <w:sz w:val="20"/>
          <w:szCs w:val="20"/>
        </w:rPr>
        <w:t>i</w:t>
      </w:r>
      <w:r w:rsidRPr="0051285C">
        <w:rPr>
          <w:sz w:val="20"/>
          <w:szCs w:val="20"/>
        </w:rPr>
        <w:t>nformačné vzdelávanie používateľov akademických knižníc</w:t>
      </w:r>
    </w:p>
    <w:p w:rsidR="009839B9" w:rsidRPr="0051285C" w:rsidRDefault="009839B9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•</w:t>
      </w:r>
      <w:r w:rsidRPr="0051285C">
        <w:rPr>
          <w:sz w:val="20"/>
          <w:szCs w:val="20"/>
        </w:rPr>
        <w:tab/>
      </w:r>
      <w:r w:rsidR="000670A7">
        <w:rPr>
          <w:sz w:val="20"/>
          <w:szCs w:val="20"/>
        </w:rPr>
        <w:t>s</w:t>
      </w:r>
      <w:r w:rsidRPr="0051285C">
        <w:rPr>
          <w:sz w:val="20"/>
          <w:szCs w:val="20"/>
        </w:rPr>
        <w:t>polupráca so sekciou akademických knižníc Slovenskej asociácie knižníc (SAK)</w:t>
      </w:r>
    </w:p>
    <w:p w:rsidR="009839B9" w:rsidRPr="0051285C" w:rsidRDefault="009839B9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•</w:t>
      </w:r>
      <w:r w:rsidRPr="0051285C">
        <w:rPr>
          <w:sz w:val="20"/>
          <w:szCs w:val="20"/>
        </w:rPr>
        <w:tab/>
      </w:r>
      <w:r w:rsidR="000670A7">
        <w:rPr>
          <w:sz w:val="20"/>
          <w:szCs w:val="20"/>
        </w:rPr>
        <w:t>tvorba c</w:t>
      </w:r>
      <w:r w:rsidRPr="0051285C">
        <w:rPr>
          <w:sz w:val="20"/>
          <w:szCs w:val="20"/>
        </w:rPr>
        <w:t>entráln</w:t>
      </w:r>
      <w:r w:rsidR="000670A7">
        <w:rPr>
          <w:sz w:val="20"/>
          <w:szCs w:val="20"/>
        </w:rPr>
        <w:t xml:space="preserve">ych </w:t>
      </w:r>
      <w:r w:rsidRPr="0051285C">
        <w:rPr>
          <w:sz w:val="20"/>
          <w:szCs w:val="20"/>
        </w:rPr>
        <w:t>registr</w:t>
      </w:r>
      <w:r w:rsidR="000670A7">
        <w:rPr>
          <w:sz w:val="20"/>
          <w:szCs w:val="20"/>
        </w:rPr>
        <w:t>ov</w:t>
      </w:r>
      <w:r w:rsidRPr="0051285C">
        <w:rPr>
          <w:sz w:val="20"/>
          <w:szCs w:val="20"/>
        </w:rPr>
        <w:t xml:space="preserve"> MŠ</w:t>
      </w:r>
      <w:r w:rsidR="000670A7">
        <w:rPr>
          <w:sz w:val="20"/>
          <w:szCs w:val="20"/>
        </w:rPr>
        <w:t xml:space="preserve">VVaŠ </w:t>
      </w:r>
      <w:r w:rsidRPr="0051285C">
        <w:rPr>
          <w:sz w:val="20"/>
          <w:szCs w:val="20"/>
        </w:rPr>
        <w:t>SR: CREPČ</w:t>
      </w:r>
      <w:r w:rsidR="000670A7">
        <w:rPr>
          <w:sz w:val="20"/>
          <w:szCs w:val="20"/>
        </w:rPr>
        <w:t>, CREUČ</w:t>
      </w:r>
      <w:r w:rsidRPr="0051285C">
        <w:rPr>
          <w:sz w:val="20"/>
          <w:szCs w:val="20"/>
        </w:rPr>
        <w:t xml:space="preserve"> a CRZP</w:t>
      </w:r>
    </w:p>
    <w:p w:rsidR="009839B9" w:rsidRPr="0051285C" w:rsidRDefault="009839B9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1285C">
        <w:rPr>
          <w:sz w:val="20"/>
          <w:szCs w:val="20"/>
        </w:rPr>
        <w:t>•</w:t>
      </w:r>
      <w:r w:rsidRPr="0051285C">
        <w:rPr>
          <w:sz w:val="20"/>
          <w:szCs w:val="20"/>
        </w:rPr>
        <w:tab/>
      </w:r>
      <w:r w:rsidR="000670A7">
        <w:rPr>
          <w:sz w:val="20"/>
          <w:szCs w:val="20"/>
        </w:rPr>
        <w:t>p</w:t>
      </w:r>
      <w:r w:rsidRPr="0051285C">
        <w:rPr>
          <w:sz w:val="20"/>
          <w:szCs w:val="20"/>
        </w:rPr>
        <w:t>ublikačná a edičná činnos</w:t>
      </w:r>
      <w:r w:rsidR="0051285C" w:rsidRPr="0051285C">
        <w:rPr>
          <w:sz w:val="20"/>
          <w:szCs w:val="20"/>
        </w:rPr>
        <w:t>ť</w:t>
      </w:r>
      <w:r w:rsidR="000670A7">
        <w:rPr>
          <w:sz w:val="20"/>
          <w:szCs w:val="20"/>
        </w:rPr>
        <w:t>:</w:t>
      </w:r>
    </w:p>
    <w:p w:rsidR="009839B9" w:rsidRPr="0051285C" w:rsidRDefault="009839B9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8391"/>
      </w:tblGrid>
      <w:tr w:rsidR="009839B9" w:rsidRPr="0051285C" w:rsidTr="009839B9">
        <w:trPr>
          <w:tblCellSpacing w:w="15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9839B9" w:rsidRPr="0051285C" w:rsidRDefault="009839B9" w:rsidP="009839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839B9" w:rsidRPr="0051285C" w:rsidTr="009839B9">
        <w:trPr>
          <w:tblCellSpacing w:w="15" w:type="dxa"/>
          <w:jc w:val="center"/>
        </w:trPr>
        <w:tc>
          <w:tcPr>
            <w:tcW w:w="400" w:type="pct"/>
            <w:hideMark/>
          </w:tcPr>
          <w:p w:rsidR="009839B9" w:rsidRPr="0051285C" w:rsidRDefault="009839B9" w:rsidP="009839B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4600" w:type="pct"/>
            <w:vAlign w:val="center"/>
            <w:hideMark/>
          </w:tcPr>
          <w:p w:rsidR="009839B9" w:rsidRPr="0051285C" w:rsidRDefault="009839B9" w:rsidP="009839B9">
            <w:pPr>
              <w:spacing w:after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285C">
              <w:rPr>
                <w:rFonts w:eastAsia="Times New Roman" w:cs="Times New Roman"/>
                <w:sz w:val="20"/>
                <w:szCs w:val="20"/>
              </w:rPr>
              <w:t>20 rokov Slovenskej asociácie knižníc (1992-2012)</w:t>
            </w:r>
            <w:r w:rsidRPr="0051285C">
              <w:rPr>
                <w:rFonts w:eastAsia="Times New Roman" w:cs="Times New Roman"/>
                <w:sz w:val="20"/>
                <w:szCs w:val="20"/>
              </w:rPr>
              <w:br/>
              <w:t xml:space="preserve">Daniela Gondová, Daniela Džuganová </w:t>
            </w:r>
            <w:r w:rsidRPr="0051285C">
              <w:rPr>
                <w:rFonts w:eastAsia="Times New Roman" w:cs="Times New Roman"/>
                <w:sz w:val="20"/>
                <w:szCs w:val="20"/>
              </w:rPr>
              <w:br/>
              <w:t>Knižnica, ISSN 1335-7026, Roč. 14 č. 1 (2013), s. 3-10</w:t>
            </w:r>
          </w:p>
        </w:tc>
      </w:tr>
    </w:tbl>
    <w:p w:rsidR="009839B9" w:rsidRPr="0051285C" w:rsidRDefault="009839B9" w:rsidP="009839B9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8391"/>
      </w:tblGrid>
      <w:tr w:rsidR="009839B9" w:rsidRPr="0051285C" w:rsidTr="009839B9">
        <w:trPr>
          <w:tblCellSpacing w:w="15" w:type="dxa"/>
          <w:jc w:val="center"/>
        </w:trPr>
        <w:tc>
          <w:tcPr>
            <w:tcW w:w="5000" w:type="pct"/>
            <w:gridSpan w:val="2"/>
            <w:vAlign w:val="center"/>
          </w:tcPr>
          <w:p w:rsidR="009839B9" w:rsidRPr="0051285C" w:rsidRDefault="009839B9" w:rsidP="009839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839B9" w:rsidRPr="0051285C" w:rsidTr="009839B9">
        <w:trPr>
          <w:tblCellSpacing w:w="15" w:type="dxa"/>
          <w:jc w:val="center"/>
        </w:trPr>
        <w:tc>
          <w:tcPr>
            <w:tcW w:w="400" w:type="pct"/>
            <w:hideMark/>
          </w:tcPr>
          <w:p w:rsidR="009839B9" w:rsidRPr="0051285C" w:rsidRDefault="009839B9" w:rsidP="009839B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4600" w:type="pct"/>
            <w:vAlign w:val="center"/>
            <w:hideMark/>
          </w:tcPr>
          <w:p w:rsidR="009839B9" w:rsidRPr="0051285C" w:rsidRDefault="009839B9" w:rsidP="009839B9">
            <w:pPr>
              <w:spacing w:after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285C">
              <w:rPr>
                <w:rFonts w:eastAsia="Times New Roman" w:cs="Times New Roman"/>
                <w:sz w:val="20"/>
                <w:szCs w:val="20"/>
              </w:rPr>
              <w:t>Premena akademických knižníc na informačné a vzdelávacie centrá univerzít (na základe analýzy stavu akademických knižníc na Slovensku)</w:t>
            </w:r>
            <w:r w:rsidRPr="0051285C">
              <w:rPr>
                <w:rFonts w:eastAsia="Times New Roman" w:cs="Times New Roman"/>
                <w:sz w:val="20"/>
                <w:szCs w:val="20"/>
              </w:rPr>
              <w:br/>
              <w:t xml:space="preserve">Daniela Džuganová, Mária Kadnárová </w:t>
            </w:r>
            <w:r w:rsidRPr="0051285C">
              <w:rPr>
                <w:rFonts w:eastAsia="Times New Roman" w:cs="Times New Roman"/>
                <w:sz w:val="20"/>
                <w:szCs w:val="20"/>
              </w:rPr>
              <w:br/>
              <w:t>INFOS 2013 : zborník príspevkov z 37. medzinárodného informatického sympózia "Inovácie knižnice a pamäťové inštitúcie. Hľadanie odpovedí na nové výzvy znalostnej spoločnosti" : Stará Lesná, 8. - 11. apríla 2013, Bratislava : Spolok slovenských knihovníkov, 2013, ISBN 9788089586073, s. 29-45</w:t>
            </w:r>
          </w:p>
        </w:tc>
      </w:tr>
    </w:tbl>
    <w:p w:rsidR="009839B9" w:rsidRPr="0051285C" w:rsidRDefault="009839B9" w:rsidP="009839B9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8391"/>
      </w:tblGrid>
      <w:tr w:rsidR="009839B9" w:rsidRPr="0051285C" w:rsidTr="009839B9">
        <w:trPr>
          <w:tblCellSpacing w:w="15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9839B9" w:rsidRPr="0051285C" w:rsidRDefault="009839B9" w:rsidP="009839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839B9" w:rsidRPr="0051285C" w:rsidTr="009839B9">
        <w:trPr>
          <w:tblCellSpacing w:w="15" w:type="dxa"/>
          <w:jc w:val="center"/>
        </w:trPr>
        <w:tc>
          <w:tcPr>
            <w:tcW w:w="400" w:type="pct"/>
            <w:hideMark/>
          </w:tcPr>
          <w:p w:rsidR="009839B9" w:rsidRPr="0051285C" w:rsidRDefault="009839B9" w:rsidP="009839B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4600" w:type="pct"/>
            <w:vAlign w:val="center"/>
            <w:hideMark/>
          </w:tcPr>
          <w:p w:rsidR="009839B9" w:rsidRPr="0051285C" w:rsidRDefault="009839B9" w:rsidP="009839B9">
            <w:pPr>
              <w:spacing w:after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285C">
              <w:rPr>
                <w:rFonts w:eastAsia="Times New Roman" w:cs="Times New Roman"/>
                <w:sz w:val="20"/>
                <w:szCs w:val="20"/>
              </w:rPr>
              <w:t>Akademické knižnice sa stretli na jesennom seminári</w:t>
            </w:r>
            <w:r w:rsidRPr="0051285C">
              <w:rPr>
                <w:rFonts w:eastAsia="Times New Roman" w:cs="Times New Roman"/>
                <w:sz w:val="20"/>
                <w:szCs w:val="20"/>
              </w:rPr>
              <w:br/>
              <w:t xml:space="preserve">Daniela Džuganová </w:t>
            </w:r>
            <w:r w:rsidRPr="0051285C">
              <w:rPr>
                <w:rFonts w:eastAsia="Times New Roman" w:cs="Times New Roman"/>
                <w:sz w:val="20"/>
                <w:szCs w:val="20"/>
              </w:rPr>
              <w:br/>
              <w:t>Bulletin Slovenskej asociácie knižníc, ISSN 1335-7905, Roč. 21, č. 4 (2013), s. 67-71</w:t>
            </w:r>
          </w:p>
        </w:tc>
      </w:tr>
    </w:tbl>
    <w:p w:rsidR="009839B9" w:rsidRPr="0051285C" w:rsidRDefault="009839B9" w:rsidP="009839B9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8391"/>
      </w:tblGrid>
      <w:tr w:rsidR="009839B9" w:rsidRPr="0051285C" w:rsidTr="009839B9">
        <w:trPr>
          <w:tblCellSpacing w:w="15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9839B9" w:rsidRPr="0051285C" w:rsidRDefault="009839B9" w:rsidP="009839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839B9" w:rsidRPr="0051285C" w:rsidTr="009839B9">
        <w:trPr>
          <w:tblCellSpacing w:w="15" w:type="dxa"/>
          <w:jc w:val="center"/>
        </w:trPr>
        <w:tc>
          <w:tcPr>
            <w:tcW w:w="400" w:type="pct"/>
            <w:hideMark/>
          </w:tcPr>
          <w:p w:rsidR="009839B9" w:rsidRPr="0051285C" w:rsidRDefault="009839B9" w:rsidP="009839B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4600" w:type="pct"/>
            <w:vAlign w:val="center"/>
            <w:hideMark/>
          </w:tcPr>
          <w:p w:rsidR="009839B9" w:rsidRPr="0051285C" w:rsidRDefault="009839B9" w:rsidP="009839B9">
            <w:pPr>
              <w:spacing w:after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285C">
              <w:rPr>
                <w:rFonts w:eastAsia="Times New Roman" w:cs="Times New Roman"/>
                <w:sz w:val="20"/>
                <w:szCs w:val="20"/>
              </w:rPr>
              <w:t>Knižnice majú a budú mať nezastupiteľné miesto</w:t>
            </w:r>
            <w:r w:rsidRPr="0051285C">
              <w:rPr>
                <w:rFonts w:eastAsia="Times New Roman" w:cs="Times New Roman"/>
                <w:sz w:val="20"/>
                <w:szCs w:val="20"/>
              </w:rPr>
              <w:br/>
              <w:t xml:space="preserve">Marián </w:t>
            </w:r>
            <w:proofErr w:type="spellStart"/>
            <w:r w:rsidRPr="0051285C">
              <w:rPr>
                <w:rFonts w:eastAsia="Times New Roman" w:cs="Times New Roman"/>
                <w:sz w:val="20"/>
                <w:szCs w:val="20"/>
              </w:rPr>
              <w:t>Gladiš</w:t>
            </w:r>
            <w:proofErr w:type="spellEnd"/>
            <w:r w:rsidRPr="0051285C">
              <w:rPr>
                <w:rFonts w:eastAsia="Times New Roman" w:cs="Times New Roman"/>
                <w:sz w:val="20"/>
                <w:szCs w:val="20"/>
              </w:rPr>
              <w:t xml:space="preserve">, Daniela Džuganová </w:t>
            </w:r>
            <w:r w:rsidRPr="0051285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51285C">
              <w:rPr>
                <w:rFonts w:eastAsia="Times New Roman" w:cs="Times New Roman"/>
                <w:sz w:val="20"/>
                <w:szCs w:val="20"/>
              </w:rPr>
              <w:t>Universitas</w:t>
            </w:r>
            <w:proofErr w:type="spellEnd"/>
            <w:r w:rsidRPr="0051285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5C">
              <w:rPr>
                <w:rFonts w:eastAsia="Times New Roman" w:cs="Times New Roman"/>
                <w:sz w:val="20"/>
                <w:szCs w:val="20"/>
              </w:rPr>
              <w:t>Šafarikiana</w:t>
            </w:r>
            <w:proofErr w:type="spellEnd"/>
            <w:r w:rsidRPr="0051285C">
              <w:rPr>
                <w:rFonts w:eastAsia="Times New Roman" w:cs="Times New Roman"/>
                <w:sz w:val="20"/>
                <w:szCs w:val="20"/>
              </w:rPr>
              <w:t>, ISSN 1338-1377, Roč. XXXX, č. 3 (2013), s. 4-5</w:t>
            </w:r>
          </w:p>
        </w:tc>
      </w:tr>
      <w:tr w:rsidR="009839B9" w:rsidRPr="0051285C" w:rsidTr="009839B9">
        <w:trPr>
          <w:tblCellSpacing w:w="15" w:type="dxa"/>
          <w:jc w:val="center"/>
        </w:trPr>
        <w:tc>
          <w:tcPr>
            <w:tcW w:w="400" w:type="pct"/>
            <w:hideMark/>
          </w:tcPr>
          <w:p w:rsidR="009839B9" w:rsidRPr="0051285C" w:rsidRDefault="009839B9" w:rsidP="009839B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4600" w:type="pct"/>
            <w:vAlign w:val="center"/>
            <w:hideMark/>
          </w:tcPr>
          <w:p w:rsidR="009839B9" w:rsidRPr="0051285C" w:rsidRDefault="009839B9" w:rsidP="009839B9">
            <w:pPr>
              <w:spacing w:after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285C">
              <w:rPr>
                <w:rFonts w:eastAsia="Times New Roman" w:cs="Times New Roman"/>
                <w:sz w:val="20"/>
                <w:szCs w:val="20"/>
              </w:rPr>
              <w:t>Nová stratégia pre knižnice, dokážeme to?</w:t>
            </w:r>
            <w:r w:rsidRPr="0051285C">
              <w:rPr>
                <w:rFonts w:eastAsia="Times New Roman" w:cs="Times New Roman"/>
                <w:sz w:val="20"/>
                <w:szCs w:val="20"/>
              </w:rPr>
              <w:br/>
              <w:t xml:space="preserve">Daniela Džuganová </w:t>
            </w:r>
            <w:r w:rsidRPr="0051285C">
              <w:rPr>
                <w:rFonts w:eastAsia="Times New Roman" w:cs="Times New Roman"/>
                <w:sz w:val="20"/>
                <w:szCs w:val="20"/>
              </w:rPr>
              <w:br/>
              <w:t>Bulletin Slovenskej asociácie knižníc, ISSN 1335-7905, Roč. 21, č. 4 (2013), s. 3-4</w:t>
            </w:r>
          </w:p>
        </w:tc>
      </w:tr>
    </w:tbl>
    <w:p w:rsidR="009839B9" w:rsidRDefault="009839B9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9E2B3C" w:rsidRDefault="009E2B3C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9E2B3C" w:rsidRDefault="009E2B3C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9E2B3C" w:rsidRDefault="009E2B3C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9E2B3C" w:rsidRDefault="009E2B3C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9E2B3C" w:rsidRDefault="009E2B3C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9E2B3C" w:rsidRDefault="009E2B3C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9E2B3C" w:rsidRDefault="009E2B3C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9E2B3C" w:rsidRPr="0051285C" w:rsidRDefault="009E2B3C" w:rsidP="009839B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0670A7" w:rsidRPr="002B10F6" w:rsidRDefault="000670A7" w:rsidP="000670A7">
      <w:pPr>
        <w:rPr>
          <w:b/>
          <w:sz w:val="20"/>
          <w:szCs w:val="20"/>
          <w:u w:val="single"/>
        </w:rPr>
      </w:pPr>
      <w:r w:rsidRPr="002B10F6">
        <w:rPr>
          <w:b/>
          <w:sz w:val="20"/>
          <w:szCs w:val="20"/>
          <w:u w:val="single"/>
        </w:rPr>
        <w:lastRenderedPageBreak/>
        <w:t>Záver a odporúčania:</w:t>
      </w:r>
    </w:p>
    <w:p w:rsidR="000670A7" w:rsidRPr="00844083" w:rsidRDefault="000670A7" w:rsidP="000670A7">
      <w:pPr>
        <w:spacing w:before="120" w:after="12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Oblasť i</w:t>
      </w:r>
      <w:r w:rsidRPr="002656A9">
        <w:rPr>
          <w:b/>
          <w:sz w:val="20"/>
          <w:szCs w:val="20"/>
        </w:rPr>
        <w:t>nformačn</w:t>
      </w:r>
      <w:r>
        <w:rPr>
          <w:b/>
          <w:sz w:val="20"/>
          <w:szCs w:val="20"/>
        </w:rPr>
        <w:t xml:space="preserve">ých </w:t>
      </w:r>
      <w:r w:rsidRPr="002656A9">
        <w:rPr>
          <w:b/>
          <w:sz w:val="20"/>
          <w:szCs w:val="20"/>
        </w:rPr>
        <w:t>zdroj</w:t>
      </w:r>
      <w:r>
        <w:rPr>
          <w:b/>
          <w:sz w:val="20"/>
          <w:szCs w:val="20"/>
        </w:rPr>
        <w:t xml:space="preserve">ov </w:t>
      </w:r>
      <w:r w:rsidRPr="002656A9">
        <w:rPr>
          <w:b/>
          <w:sz w:val="20"/>
          <w:szCs w:val="20"/>
        </w:rPr>
        <w:t xml:space="preserve">pre </w:t>
      </w:r>
      <w:r>
        <w:rPr>
          <w:b/>
          <w:sz w:val="20"/>
          <w:szCs w:val="20"/>
        </w:rPr>
        <w:t>akademické knižnice a ich ochrana</w:t>
      </w:r>
    </w:p>
    <w:p w:rsidR="000670A7" w:rsidRDefault="000670A7" w:rsidP="000670A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2656A9">
        <w:rPr>
          <w:rFonts w:asciiTheme="minorHAnsi" w:hAnsiTheme="minorHAnsi"/>
          <w:sz w:val="20"/>
          <w:szCs w:val="20"/>
        </w:rPr>
        <w:t>zabezpečiť udržateľnosť projektu NISPEZ</w:t>
      </w:r>
      <w:r>
        <w:rPr>
          <w:rFonts w:asciiTheme="minorHAnsi" w:hAnsiTheme="minorHAnsi"/>
          <w:sz w:val="20"/>
          <w:szCs w:val="20"/>
        </w:rPr>
        <w:t xml:space="preserve"> II.</w:t>
      </w:r>
      <w:r w:rsidRPr="002656A9">
        <w:rPr>
          <w:rFonts w:asciiTheme="minorHAnsi" w:hAnsiTheme="minorHAnsi"/>
          <w:sz w:val="20"/>
          <w:szCs w:val="20"/>
        </w:rPr>
        <w:t xml:space="preserve"> a národnej licencie pre databázy EBSCO</w:t>
      </w:r>
      <w:r>
        <w:rPr>
          <w:rFonts w:asciiTheme="minorHAnsi" w:hAnsiTheme="minorHAnsi"/>
          <w:sz w:val="20"/>
          <w:szCs w:val="20"/>
        </w:rPr>
        <w:t>;</w:t>
      </w:r>
    </w:p>
    <w:p w:rsidR="000670A7" w:rsidRPr="002656A9" w:rsidRDefault="000670A7" w:rsidP="000670A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2656A9">
        <w:rPr>
          <w:rFonts w:asciiTheme="minorHAnsi" w:hAnsiTheme="minorHAnsi"/>
          <w:sz w:val="20"/>
          <w:szCs w:val="20"/>
        </w:rPr>
        <w:t>riešiť koordináciu získavania a sprístupňovania EIZ v celoslovenskom meradle;</w:t>
      </w:r>
    </w:p>
    <w:p w:rsidR="000670A7" w:rsidRPr="002656A9" w:rsidRDefault="000670A7" w:rsidP="000670A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2656A9">
        <w:rPr>
          <w:rFonts w:asciiTheme="minorHAnsi" w:hAnsiTheme="minorHAnsi"/>
          <w:sz w:val="20"/>
          <w:szCs w:val="20"/>
        </w:rPr>
        <w:t>vytvárať podmienky pre správu a fungovanie knižničných skladov s definovaním m</w:t>
      </w:r>
      <w:r>
        <w:rPr>
          <w:rFonts w:asciiTheme="minorHAnsi" w:hAnsiTheme="minorHAnsi"/>
          <w:sz w:val="20"/>
          <w:szCs w:val="20"/>
        </w:rPr>
        <w:t>inimálnych povinných parametrov.</w:t>
      </w:r>
    </w:p>
    <w:p w:rsidR="000670A7" w:rsidRPr="00844083" w:rsidRDefault="000670A7" w:rsidP="000670A7">
      <w:pPr>
        <w:spacing w:before="120" w:after="12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Oblasť k</w:t>
      </w:r>
      <w:r w:rsidRPr="00844083">
        <w:rPr>
          <w:b/>
          <w:sz w:val="20"/>
          <w:szCs w:val="20"/>
        </w:rPr>
        <w:t>nižnično-informačn</w:t>
      </w:r>
      <w:r>
        <w:rPr>
          <w:b/>
          <w:sz w:val="20"/>
          <w:szCs w:val="20"/>
        </w:rPr>
        <w:t xml:space="preserve">ých </w:t>
      </w:r>
      <w:r w:rsidRPr="00844083">
        <w:rPr>
          <w:b/>
          <w:sz w:val="20"/>
          <w:szCs w:val="20"/>
        </w:rPr>
        <w:t>služ</w:t>
      </w:r>
      <w:r>
        <w:rPr>
          <w:b/>
          <w:sz w:val="20"/>
          <w:szCs w:val="20"/>
        </w:rPr>
        <w:t xml:space="preserve">ieb akademických knižníc </w:t>
      </w:r>
    </w:p>
    <w:p w:rsidR="000670A7" w:rsidRPr="002656A9" w:rsidRDefault="000670A7" w:rsidP="000670A7">
      <w:pPr>
        <w:pStyle w:val="Odsekzoznamu"/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2656A9">
        <w:rPr>
          <w:rFonts w:asciiTheme="minorHAnsi" w:hAnsiTheme="minorHAnsi"/>
          <w:sz w:val="20"/>
          <w:szCs w:val="20"/>
        </w:rPr>
        <w:t>metodicky usmerňovať administratívne a právne postupy knižníc súvisiace s poskytovaním služieb (súdne vymáhanie výpožičiek, riešenie problémov s neprispôsobivými používateľmi a pod.);</w:t>
      </w:r>
    </w:p>
    <w:p w:rsidR="000670A7" w:rsidRPr="00844083" w:rsidRDefault="000670A7" w:rsidP="000670A7">
      <w:pPr>
        <w:pStyle w:val="Odsekzoznamu"/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riešiť problematiku </w:t>
      </w:r>
      <w:r w:rsidRPr="002656A9">
        <w:rPr>
          <w:rFonts w:asciiTheme="minorHAnsi" w:hAnsiTheme="minorHAnsi"/>
          <w:sz w:val="20"/>
          <w:szCs w:val="20"/>
        </w:rPr>
        <w:t>výpožičiek dokumentov na iných ako printových nosičoch;</w:t>
      </w:r>
    </w:p>
    <w:p w:rsidR="000670A7" w:rsidRPr="00844083" w:rsidRDefault="000670A7" w:rsidP="000670A7">
      <w:pPr>
        <w:pStyle w:val="Odsekzoznamu"/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zaviesť </w:t>
      </w:r>
      <w:r w:rsidRPr="002656A9">
        <w:rPr>
          <w:rFonts w:asciiTheme="minorHAnsi" w:hAnsiTheme="minorHAnsi"/>
          <w:sz w:val="20"/>
          <w:szCs w:val="20"/>
        </w:rPr>
        <w:t>štandard</w:t>
      </w:r>
      <w:r>
        <w:rPr>
          <w:rFonts w:asciiTheme="minorHAnsi" w:hAnsiTheme="minorHAnsi"/>
          <w:sz w:val="20"/>
          <w:szCs w:val="20"/>
        </w:rPr>
        <w:t xml:space="preserve">y akademických </w:t>
      </w:r>
      <w:r w:rsidRPr="002656A9">
        <w:rPr>
          <w:rFonts w:asciiTheme="minorHAnsi" w:hAnsiTheme="minorHAnsi"/>
          <w:sz w:val="20"/>
          <w:szCs w:val="20"/>
        </w:rPr>
        <w:t>knižníc</w:t>
      </w:r>
      <w:r>
        <w:rPr>
          <w:rFonts w:asciiTheme="minorHAnsi" w:hAnsiTheme="minorHAnsi"/>
          <w:sz w:val="20"/>
          <w:szCs w:val="20"/>
        </w:rPr>
        <w:t xml:space="preserve">, ich </w:t>
      </w:r>
      <w:r w:rsidRPr="002656A9">
        <w:rPr>
          <w:rFonts w:asciiTheme="minorHAnsi" w:hAnsiTheme="minorHAnsi"/>
          <w:sz w:val="20"/>
          <w:szCs w:val="20"/>
        </w:rPr>
        <w:t>plnenie pravidelne vyhodnocovať</w:t>
      </w:r>
      <w:r>
        <w:rPr>
          <w:rFonts w:asciiTheme="minorHAnsi" w:hAnsiTheme="minorHAnsi"/>
          <w:sz w:val="20"/>
          <w:szCs w:val="20"/>
          <w:lang w:val="en-US"/>
        </w:rPr>
        <w:t>.</w:t>
      </w:r>
    </w:p>
    <w:p w:rsidR="000670A7" w:rsidRPr="00844083" w:rsidRDefault="000670A7" w:rsidP="000670A7">
      <w:pPr>
        <w:spacing w:before="120" w:after="12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Oblasť i</w:t>
      </w:r>
      <w:r w:rsidRPr="00844083">
        <w:rPr>
          <w:b/>
          <w:sz w:val="20"/>
          <w:szCs w:val="20"/>
        </w:rPr>
        <w:t>nformačn</w:t>
      </w:r>
      <w:r>
        <w:rPr>
          <w:b/>
          <w:sz w:val="20"/>
          <w:szCs w:val="20"/>
        </w:rPr>
        <w:t>ých a </w:t>
      </w:r>
      <w:r w:rsidRPr="00844083">
        <w:rPr>
          <w:b/>
          <w:sz w:val="20"/>
          <w:szCs w:val="20"/>
        </w:rPr>
        <w:t>komunikačn</w:t>
      </w:r>
      <w:r>
        <w:rPr>
          <w:b/>
          <w:sz w:val="20"/>
          <w:szCs w:val="20"/>
        </w:rPr>
        <w:t>ých te</w:t>
      </w:r>
      <w:r w:rsidRPr="00844083">
        <w:rPr>
          <w:b/>
          <w:sz w:val="20"/>
          <w:szCs w:val="20"/>
        </w:rPr>
        <w:t>chnológ</w:t>
      </w:r>
      <w:r>
        <w:rPr>
          <w:b/>
          <w:sz w:val="20"/>
          <w:szCs w:val="20"/>
        </w:rPr>
        <w:t xml:space="preserve">ií v akademických </w:t>
      </w:r>
      <w:r w:rsidRPr="00844083">
        <w:rPr>
          <w:b/>
          <w:sz w:val="20"/>
          <w:szCs w:val="20"/>
        </w:rPr>
        <w:t>knižniciach</w:t>
      </w:r>
    </w:p>
    <w:p w:rsidR="000670A7" w:rsidRPr="002656A9" w:rsidRDefault="000670A7" w:rsidP="000670A7">
      <w:pPr>
        <w:pStyle w:val="Odsekzoznamu"/>
        <w:numPr>
          <w:ilvl w:val="0"/>
          <w:numId w:val="7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2656A9">
        <w:rPr>
          <w:rFonts w:asciiTheme="minorHAnsi" w:hAnsiTheme="minorHAnsi"/>
          <w:sz w:val="20"/>
          <w:szCs w:val="20"/>
        </w:rPr>
        <w:t xml:space="preserve">posúdiť dosahovanú technickú </w:t>
      </w:r>
      <w:r>
        <w:rPr>
          <w:rFonts w:asciiTheme="minorHAnsi" w:hAnsiTheme="minorHAnsi"/>
          <w:sz w:val="20"/>
          <w:szCs w:val="20"/>
        </w:rPr>
        <w:t xml:space="preserve">a technologickú </w:t>
      </w:r>
      <w:r w:rsidRPr="002656A9">
        <w:rPr>
          <w:rFonts w:asciiTheme="minorHAnsi" w:hAnsiTheme="minorHAnsi"/>
          <w:sz w:val="20"/>
          <w:szCs w:val="20"/>
        </w:rPr>
        <w:t xml:space="preserve">úroveň </w:t>
      </w:r>
      <w:r>
        <w:rPr>
          <w:rFonts w:asciiTheme="minorHAnsi" w:hAnsiTheme="minorHAnsi"/>
          <w:sz w:val="20"/>
          <w:szCs w:val="20"/>
        </w:rPr>
        <w:t xml:space="preserve">s cieľom </w:t>
      </w:r>
      <w:r w:rsidRPr="002656A9">
        <w:rPr>
          <w:rFonts w:asciiTheme="minorHAnsi" w:hAnsiTheme="minorHAnsi"/>
          <w:sz w:val="20"/>
          <w:szCs w:val="20"/>
        </w:rPr>
        <w:t xml:space="preserve">zvýšiť </w:t>
      </w:r>
      <w:r>
        <w:rPr>
          <w:rFonts w:asciiTheme="minorHAnsi" w:hAnsiTheme="minorHAnsi"/>
          <w:sz w:val="20"/>
          <w:szCs w:val="20"/>
        </w:rPr>
        <w:t xml:space="preserve">jej úroveň v </w:t>
      </w:r>
      <w:r w:rsidRPr="002656A9">
        <w:rPr>
          <w:rFonts w:asciiTheme="minorHAnsi" w:hAnsiTheme="minorHAnsi"/>
          <w:sz w:val="20"/>
          <w:szCs w:val="20"/>
        </w:rPr>
        <w:t xml:space="preserve">poskytovaných </w:t>
      </w:r>
      <w:r>
        <w:rPr>
          <w:rFonts w:asciiTheme="minorHAnsi" w:hAnsiTheme="minorHAnsi"/>
          <w:sz w:val="20"/>
          <w:szCs w:val="20"/>
        </w:rPr>
        <w:t xml:space="preserve">knižnično-informačných službách; </w:t>
      </w:r>
      <w:r w:rsidRPr="002656A9">
        <w:rPr>
          <w:rFonts w:asciiTheme="minorHAnsi" w:hAnsiTheme="minorHAnsi"/>
          <w:sz w:val="20"/>
          <w:szCs w:val="20"/>
        </w:rPr>
        <w:t xml:space="preserve"> </w:t>
      </w:r>
    </w:p>
    <w:p w:rsidR="000670A7" w:rsidRPr="002656A9" w:rsidRDefault="000670A7" w:rsidP="000670A7">
      <w:pPr>
        <w:pStyle w:val="Odsekzoznamu"/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Theme="minorHAnsi" w:hAnsiTheme="minorHAnsi"/>
          <w:color w:val="FF0000"/>
          <w:sz w:val="20"/>
          <w:szCs w:val="20"/>
        </w:rPr>
      </w:pPr>
      <w:r w:rsidRPr="002656A9">
        <w:rPr>
          <w:rFonts w:asciiTheme="minorHAnsi" w:hAnsiTheme="minorHAnsi"/>
          <w:sz w:val="20"/>
          <w:szCs w:val="20"/>
        </w:rPr>
        <w:t xml:space="preserve">definovať podmienky poskytovania nových typov služieb </w:t>
      </w:r>
      <w:r>
        <w:rPr>
          <w:rFonts w:asciiTheme="minorHAnsi" w:hAnsiTheme="minorHAnsi"/>
          <w:sz w:val="20"/>
          <w:szCs w:val="20"/>
        </w:rPr>
        <w:t xml:space="preserve">akademických </w:t>
      </w:r>
      <w:r w:rsidRPr="002656A9">
        <w:rPr>
          <w:rFonts w:asciiTheme="minorHAnsi" w:hAnsiTheme="minorHAnsi"/>
          <w:sz w:val="20"/>
          <w:szCs w:val="20"/>
        </w:rPr>
        <w:t>knižníc</w:t>
      </w:r>
      <w:r>
        <w:rPr>
          <w:rFonts w:asciiTheme="minorHAnsi" w:hAnsiTheme="minorHAnsi"/>
          <w:sz w:val="20"/>
          <w:szCs w:val="20"/>
        </w:rPr>
        <w:t xml:space="preserve"> v závislosti od nových </w:t>
      </w:r>
      <w:r w:rsidRPr="002656A9">
        <w:rPr>
          <w:rFonts w:asciiTheme="minorHAnsi" w:hAnsiTheme="minorHAnsi"/>
          <w:sz w:val="20"/>
          <w:szCs w:val="20"/>
        </w:rPr>
        <w:t xml:space="preserve"> informačných a komunikačných technológií a</w:t>
      </w:r>
      <w:r>
        <w:rPr>
          <w:rFonts w:asciiTheme="minorHAnsi" w:hAnsiTheme="minorHAnsi"/>
          <w:sz w:val="20"/>
          <w:szCs w:val="20"/>
        </w:rPr>
        <w:t> </w:t>
      </w:r>
      <w:r w:rsidRPr="002656A9">
        <w:rPr>
          <w:rFonts w:asciiTheme="minorHAnsi" w:hAnsiTheme="minorHAnsi"/>
          <w:sz w:val="20"/>
          <w:szCs w:val="20"/>
        </w:rPr>
        <w:t>zariade</w:t>
      </w:r>
      <w:r>
        <w:rPr>
          <w:rFonts w:asciiTheme="minorHAnsi" w:hAnsiTheme="minorHAnsi"/>
          <w:sz w:val="20"/>
          <w:szCs w:val="20"/>
        </w:rPr>
        <w:t>ní.</w:t>
      </w:r>
    </w:p>
    <w:p w:rsidR="000670A7" w:rsidRPr="00011317" w:rsidRDefault="000670A7" w:rsidP="000670A7">
      <w:pPr>
        <w:spacing w:before="120" w:after="12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Oblasť l</w:t>
      </w:r>
      <w:r w:rsidRPr="00011317">
        <w:rPr>
          <w:b/>
          <w:sz w:val="20"/>
          <w:szCs w:val="20"/>
        </w:rPr>
        <w:t>egislatív</w:t>
      </w:r>
      <w:r>
        <w:rPr>
          <w:b/>
          <w:sz w:val="20"/>
          <w:szCs w:val="20"/>
        </w:rPr>
        <w:t xml:space="preserve">y pre akademické </w:t>
      </w:r>
      <w:r w:rsidRPr="00011317">
        <w:rPr>
          <w:b/>
          <w:sz w:val="20"/>
          <w:szCs w:val="20"/>
        </w:rPr>
        <w:t>knižnice</w:t>
      </w:r>
    </w:p>
    <w:p w:rsidR="000670A7" w:rsidRPr="00011317" w:rsidRDefault="000670A7" w:rsidP="000670A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sz w:val="20"/>
          <w:szCs w:val="20"/>
        </w:rPr>
      </w:pPr>
      <w:r w:rsidRPr="00011317">
        <w:rPr>
          <w:sz w:val="20"/>
          <w:szCs w:val="20"/>
        </w:rPr>
        <w:t>podporovať a presadzovať nové znenie knižničného zákona (zadefinovať škálu knižničných a informačných služieb a stanoviť služby akademických knižníc</w:t>
      </w:r>
      <w:r>
        <w:rPr>
          <w:sz w:val="20"/>
          <w:szCs w:val="20"/>
        </w:rPr>
        <w:t xml:space="preserve">, </w:t>
      </w:r>
      <w:r w:rsidRPr="00011317">
        <w:rPr>
          <w:sz w:val="20"/>
          <w:szCs w:val="20"/>
        </w:rPr>
        <w:t>inkorporovať odporúčania medzinárodných organizácií, najmä UNESCO, IFLA, pre všetky oblasti k</w:t>
      </w:r>
      <w:r>
        <w:rPr>
          <w:sz w:val="20"/>
          <w:szCs w:val="20"/>
        </w:rPr>
        <w:t xml:space="preserve">nižničnej činnosti); </w:t>
      </w:r>
    </w:p>
    <w:p w:rsidR="000670A7" w:rsidRPr="002B10F6" w:rsidRDefault="000670A7" w:rsidP="000670A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sz w:val="20"/>
          <w:szCs w:val="20"/>
        </w:rPr>
      </w:pPr>
      <w:r w:rsidRPr="002B10F6">
        <w:rPr>
          <w:sz w:val="20"/>
          <w:szCs w:val="20"/>
        </w:rPr>
        <w:t xml:space="preserve">podporovať novelizáciu autorského zákona v záujme </w:t>
      </w:r>
      <w:r>
        <w:rPr>
          <w:sz w:val="20"/>
          <w:szCs w:val="20"/>
        </w:rPr>
        <w:t xml:space="preserve">špeciálnych </w:t>
      </w:r>
      <w:r w:rsidRPr="002B10F6">
        <w:rPr>
          <w:sz w:val="20"/>
          <w:szCs w:val="20"/>
        </w:rPr>
        <w:t xml:space="preserve">podmienok pre knižnice pre verejný a  štátny záujem (napr. </w:t>
      </w:r>
      <w:r w:rsidRPr="002B10F6">
        <w:rPr>
          <w:color w:val="000000"/>
          <w:sz w:val="20"/>
          <w:szCs w:val="20"/>
        </w:rPr>
        <w:t xml:space="preserve">zaviesť možnosť využívania dokumentov v rámci celého knižničného systému (napr. služby vo vzdialenom prístupe k dokumentom) bez ohľadu na vlastníka originálneho knižničného dokumentu, </w:t>
      </w:r>
      <w:r w:rsidRPr="002B10F6">
        <w:rPr>
          <w:sz w:val="20"/>
          <w:szCs w:val="20"/>
        </w:rPr>
        <w:t>zverejňovanie obsahov a obálok titulných listov kníh a časopisov do online katalógov knižníc, dôsledne dbať na zavedenie ISO noriem spadajúcich pod technickú komisiu TK 69 do praxe slovenského knihovníctva).</w:t>
      </w:r>
    </w:p>
    <w:p w:rsidR="000670A7" w:rsidRDefault="000670A7" w:rsidP="000670A7">
      <w:pPr>
        <w:spacing w:before="120" w:after="12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Oblasť v</w:t>
      </w:r>
      <w:r w:rsidRPr="00011317">
        <w:rPr>
          <w:b/>
          <w:sz w:val="20"/>
          <w:szCs w:val="20"/>
        </w:rPr>
        <w:t>zdelávani</w:t>
      </w:r>
      <w:r>
        <w:rPr>
          <w:b/>
          <w:sz w:val="20"/>
          <w:szCs w:val="20"/>
        </w:rPr>
        <w:t>a</w:t>
      </w:r>
      <w:r w:rsidRPr="00011317">
        <w:rPr>
          <w:b/>
          <w:sz w:val="20"/>
          <w:szCs w:val="20"/>
        </w:rPr>
        <w:t>, spoločenské</w:t>
      </w:r>
      <w:r>
        <w:rPr>
          <w:b/>
          <w:sz w:val="20"/>
          <w:szCs w:val="20"/>
        </w:rPr>
        <w:t>ho</w:t>
      </w:r>
      <w:r w:rsidRPr="00011317">
        <w:rPr>
          <w:b/>
          <w:sz w:val="20"/>
          <w:szCs w:val="20"/>
        </w:rPr>
        <w:t xml:space="preserve"> postaveni</w:t>
      </w:r>
      <w:r>
        <w:rPr>
          <w:b/>
          <w:sz w:val="20"/>
          <w:szCs w:val="20"/>
        </w:rPr>
        <w:t>a</w:t>
      </w:r>
      <w:r w:rsidRPr="00011317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> </w:t>
      </w:r>
      <w:r w:rsidRPr="00011317">
        <w:rPr>
          <w:b/>
          <w:sz w:val="20"/>
          <w:szCs w:val="20"/>
        </w:rPr>
        <w:t>ohodnoteni</w:t>
      </w:r>
      <w:r>
        <w:rPr>
          <w:b/>
          <w:sz w:val="20"/>
          <w:szCs w:val="20"/>
        </w:rPr>
        <w:t xml:space="preserve">a </w:t>
      </w:r>
      <w:r w:rsidRPr="00011317">
        <w:rPr>
          <w:b/>
          <w:sz w:val="20"/>
          <w:szCs w:val="20"/>
        </w:rPr>
        <w:t xml:space="preserve">zamestnancov </w:t>
      </w:r>
      <w:r>
        <w:rPr>
          <w:b/>
          <w:sz w:val="20"/>
          <w:szCs w:val="20"/>
        </w:rPr>
        <w:t xml:space="preserve">akademických </w:t>
      </w:r>
      <w:r w:rsidRPr="00011317">
        <w:rPr>
          <w:b/>
          <w:sz w:val="20"/>
          <w:szCs w:val="20"/>
        </w:rPr>
        <w:t>knižníc</w:t>
      </w:r>
    </w:p>
    <w:p w:rsidR="000670A7" w:rsidRPr="00011317" w:rsidRDefault="000670A7" w:rsidP="000670A7">
      <w:pPr>
        <w:pStyle w:val="Odsekzoznamu"/>
        <w:numPr>
          <w:ilvl w:val="0"/>
          <w:numId w:val="13"/>
        </w:numPr>
        <w:spacing w:before="120" w:after="120" w:line="240" w:lineRule="auto"/>
        <w:contextualSpacing/>
        <w:jc w:val="both"/>
        <w:rPr>
          <w:sz w:val="20"/>
          <w:szCs w:val="20"/>
        </w:rPr>
      </w:pPr>
      <w:r w:rsidRPr="00011317">
        <w:rPr>
          <w:b/>
          <w:sz w:val="20"/>
          <w:szCs w:val="20"/>
        </w:rPr>
        <w:t xml:space="preserve"> </w:t>
      </w:r>
      <w:r w:rsidRPr="00011317">
        <w:rPr>
          <w:sz w:val="20"/>
          <w:szCs w:val="20"/>
        </w:rPr>
        <w:t xml:space="preserve">novelizovať katalóg pracovných činností pre knihovníkov a informačných špecialistov, inovovať opisy </w:t>
      </w:r>
      <w:r>
        <w:rPr>
          <w:sz w:val="20"/>
          <w:szCs w:val="20"/>
        </w:rPr>
        <w:t xml:space="preserve">odborných </w:t>
      </w:r>
      <w:r w:rsidRPr="00011317">
        <w:rPr>
          <w:sz w:val="20"/>
          <w:szCs w:val="20"/>
        </w:rPr>
        <w:t>činnost</w:t>
      </w:r>
      <w:r>
        <w:rPr>
          <w:sz w:val="20"/>
          <w:szCs w:val="20"/>
        </w:rPr>
        <w:t>í</w:t>
      </w:r>
      <w:r w:rsidRPr="00011317">
        <w:rPr>
          <w:sz w:val="20"/>
          <w:szCs w:val="20"/>
        </w:rPr>
        <w:t xml:space="preserve"> pre konkrétne  platové triedy knihovníkov</w:t>
      </w:r>
      <w:r>
        <w:rPr>
          <w:sz w:val="20"/>
          <w:szCs w:val="20"/>
        </w:rPr>
        <w:t xml:space="preserve">. </w:t>
      </w:r>
    </w:p>
    <w:p w:rsidR="000670A7" w:rsidRPr="00A4296E" w:rsidRDefault="000670A7" w:rsidP="000670A7">
      <w:pPr>
        <w:spacing w:before="120" w:after="12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Oblasť </w:t>
      </w:r>
      <w:r w:rsidRPr="00A4296E">
        <w:rPr>
          <w:b/>
          <w:sz w:val="20"/>
          <w:szCs w:val="20"/>
        </w:rPr>
        <w:t>informačn</w:t>
      </w:r>
      <w:r>
        <w:rPr>
          <w:b/>
          <w:sz w:val="20"/>
          <w:szCs w:val="20"/>
        </w:rPr>
        <w:t>ého vzdelávania a</w:t>
      </w:r>
      <w:r w:rsidRPr="00A4296E">
        <w:rPr>
          <w:b/>
          <w:sz w:val="20"/>
          <w:szCs w:val="20"/>
        </w:rPr>
        <w:t xml:space="preserve"> informačná gramotnosť používateľov</w:t>
      </w:r>
    </w:p>
    <w:p w:rsidR="000670A7" w:rsidRPr="002B10F6" w:rsidRDefault="000670A7" w:rsidP="000670A7">
      <w:pPr>
        <w:pStyle w:val="Odsekzoznamu"/>
        <w:numPr>
          <w:ilvl w:val="0"/>
          <w:numId w:val="17"/>
        </w:numPr>
        <w:spacing w:before="120" w:after="120" w:line="240" w:lineRule="auto"/>
        <w:contextualSpacing/>
        <w:jc w:val="both"/>
        <w:rPr>
          <w:sz w:val="20"/>
          <w:szCs w:val="20"/>
        </w:rPr>
      </w:pPr>
      <w:r w:rsidRPr="002B10F6">
        <w:rPr>
          <w:sz w:val="20"/>
          <w:szCs w:val="20"/>
        </w:rPr>
        <w:t>podporovať vypracovanie koncepcie informačného vzdelávania s cieľom zvyšovania informačnej gramotnosti používateľov na vysokých školách, so zameraním na využívanie klasických a elektronických informačných zdrojov.</w:t>
      </w:r>
    </w:p>
    <w:p w:rsidR="000670A7" w:rsidRPr="002B10F6" w:rsidRDefault="000670A7" w:rsidP="000670A7">
      <w:pPr>
        <w:spacing w:before="120" w:after="120" w:line="24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Oblasť b</w:t>
      </w:r>
      <w:r w:rsidRPr="002B10F6">
        <w:rPr>
          <w:b/>
          <w:sz w:val="20"/>
          <w:szCs w:val="20"/>
        </w:rPr>
        <w:t>udov</w:t>
      </w:r>
      <w:r>
        <w:rPr>
          <w:b/>
          <w:sz w:val="20"/>
          <w:szCs w:val="20"/>
        </w:rPr>
        <w:t xml:space="preserve"> akademických knižníc a ich vybavenie</w:t>
      </w:r>
    </w:p>
    <w:p w:rsidR="000670A7" w:rsidRDefault="000670A7" w:rsidP="000670A7">
      <w:pPr>
        <w:pStyle w:val="Odsekzoznamu"/>
        <w:numPr>
          <w:ilvl w:val="0"/>
          <w:numId w:val="15"/>
        </w:numPr>
        <w:spacing w:before="120" w:after="12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podporovať </w:t>
      </w:r>
      <w:r w:rsidRPr="002B10F6">
        <w:rPr>
          <w:sz w:val="20"/>
          <w:szCs w:val="20"/>
        </w:rPr>
        <w:t>výstavbu novostavieb knižníc a rekonštrukcií budov knižníc, ktoré budú zodpovedať medzi</w:t>
      </w:r>
      <w:r>
        <w:rPr>
          <w:sz w:val="20"/>
          <w:szCs w:val="20"/>
        </w:rPr>
        <w:t>národným štandardom a trendom</w:t>
      </w:r>
    </w:p>
    <w:p w:rsidR="009839B9" w:rsidRPr="0051285C" w:rsidRDefault="009839B9" w:rsidP="009839B9">
      <w:pPr>
        <w:spacing w:line="360" w:lineRule="auto"/>
        <w:jc w:val="both"/>
        <w:rPr>
          <w:sz w:val="20"/>
          <w:szCs w:val="20"/>
        </w:rPr>
      </w:pPr>
    </w:p>
    <w:p w:rsidR="009839B9" w:rsidRDefault="000670A7" w:rsidP="009839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Bratislava 23.6.2014</w:t>
      </w:r>
    </w:p>
    <w:p w:rsidR="000670A7" w:rsidRDefault="000670A7" w:rsidP="000670A7">
      <w:pPr>
        <w:pStyle w:val="Bezriadkovania"/>
        <w:rPr>
          <w:sz w:val="20"/>
          <w:szCs w:val="20"/>
        </w:rPr>
      </w:pPr>
    </w:p>
    <w:p w:rsidR="000670A7" w:rsidRPr="000670A7" w:rsidRDefault="000670A7" w:rsidP="000670A7">
      <w:pPr>
        <w:pStyle w:val="Bezriadkovania"/>
        <w:rPr>
          <w:sz w:val="20"/>
          <w:szCs w:val="20"/>
        </w:rPr>
      </w:pPr>
      <w:bookmarkStart w:id="0" w:name="_GoBack"/>
      <w:bookmarkEnd w:id="0"/>
      <w:r w:rsidRPr="000670A7">
        <w:rPr>
          <w:sz w:val="20"/>
          <w:szCs w:val="20"/>
        </w:rPr>
        <w:t>Vypracovali:</w:t>
      </w:r>
    </w:p>
    <w:p w:rsidR="000670A7" w:rsidRPr="000670A7" w:rsidRDefault="000670A7" w:rsidP="000670A7">
      <w:pPr>
        <w:pStyle w:val="Bezriadkovania"/>
        <w:rPr>
          <w:sz w:val="20"/>
          <w:szCs w:val="20"/>
        </w:rPr>
      </w:pPr>
      <w:r w:rsidRPr="000670A7">
        <w:rPr>
          <w:sz w:val="20"/>
          <w:szCs w:val="20"/>
        </w:rPr>
        <w:t>PhDr. Mária Kadnárová</w:t>
      </w:r>
    </w:p>
    <w:p w:rsidR="000670A7" w:rsidRPr="000670A7" w:rsidRDefault="000670A7" w:rsidP="000670A7">
      <w:pPr>
        <w:pStyle w:val="Bezriadkovania"/>
        <w:rPr>
          <w:sz w:val="20"/>
          <w:szCs w:val="20"/>
        </w:rPr>
      </w:pPr>
      <w:r w:rsidRPr="000670A7">
        <w:rPr>
          <w:sz w:val="20"/>
          <w:szCs w:val="20"/>
        </w:rPr>
        <w:t xml:space="preserve">PhDr. Daniela Džuganová </w:t>
      </w:r>
    </w:p>
    <w:p w:rsidR="009839B9" w:rsidRPr="000670A7" w:rsidRDefault="009839B9" w:rsidP="000670A7">
      <w:pPr>
        <w:pStyle w:val="Bezriadkovania"/>
        <w:rPr>
          <w:b/>
          <w:sz w:val="20"/>
          <w:szCs w:val="20"/>
        </w:rPr>
      </w:pPr>
      <w:r w:rsidRPr="000670A7">
        <w:rPr>
          <w:b/>
          <w:sz w:val="20"/>
          <w:szCs w:val="20"/>
        </w:rPr>
        <w:t xml:space="preserve">    </w:t>
      </w:r>
    </w:p>
    <w:p w:rsidR="00EC5569" w:rsidRPr="000670A7" w:rsidRDefault="00EC5569">
      <w:pPr>
        <w:rPr>
          <w:sz w:val="20"/>
          <w:szCs w:val="20"/>
        </w:rPr>
      </w:pPr>
    </w:p>
    <w:p w:rsidR="00EC5569" w:rsidRPr="000670A7" w:rsidRDefault="00EC5569">
      <w:pPr>
        <w:rPr>
          <w:sz w:val="20"/>
          <w:szCs w:val="20"/>
        </w:rPr>
      </w:pPr>
    </w:p>
    <w:sectPr w:rsidR="00EC5569" w:rsidRPr="000670A7" w:rsidSect="0096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3E" w:rsidRDefault="005B5D3E" w:rsidP="00073C8E">
      <w:pPr>
        <w:spacing w:after="0" w:line="240" w:lineRule="auto"/>
      </w:pPr>
      <w:r>
        <w:separator/>
      </w:r>
    </w:p>
  </w:endnote>
  <w:endnote w:type="continuationSeparator" w:id="0">
    <w:p w:rsidR="005B5D3E" w:rsidRDefault="005B5D3E" w:rsidP="0007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3E" w:rsidRDefault="005B5D3E" w:rsidP="00073C8E">
      <w:pPr>
        <w:spacing w:after="0" w:line="240" w:lineRule="auto"/>
      </w:pPr>
      <w:r>
        <w:separator/>
      </w:r>
    </w:p>
  </w:footnote>
  <w:footnote w:type="continuationSeparator" w:id="0">
    <w:p w:rsidR="005B5D3E" w:rsidRDefault="005B5D3E" w:rsidP="00073C8E">
      <w:pPr>
        <w:spacing w:after="0" w:line="240" w:lineRule="auto"/>
      </w:pPr>
      <w:r>
        <w:continuationSeparator/>
      </w:r>
    </w:p>
  </w:footnote>
  <w:footnote w:id="1">
    <w:p w:rsidR="002656A9" w:rsidRPr="00EC5569" w:rsidRDefault="002656A9" w:rsidP="00EC5569">
      <w:pPr>
        <w:pStyle w:val="Textpoznmkypodiarou"/>
        <w:rPr>
          <w:rFonts w:asciiTheme="minorHAnsi" w:hAnsiTheme="minorHAns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EC5569">
        <w:rPr>
          <w:rFonts w:asciiTheme="minorHAnsi" w:hAnsiTheme="minorHAnsi"/>
          <w:sz w:val="18"/>
          <w:szCs w:val="18"/>
        </w:rPr>
        <w:t>Zákon o vysokých školách č. 131/2002 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EC5569">
        <w:rPr>
          <w:rFonts w:asciiTheme="minorHAnsi" w:hAnsiTheme="minorHAnsi"/>
          <w:sz w:val="18"/>
          <w:szCs w:val="18"/>
        </w:rPr>
        <w:t>z. a Zákon o knižniciach č. 183/2000 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EC5569">
        <w:rPr>
          <w:rFonts w:asciiTheme="minorHAnsi" w:hAnsiTheme="minorHAnsi"/>
          <w:sz w:val="18"/>
          <w:szCs w:val="18"/>
        </w:rPr>
        <w:t>z.</w:t>
      </w:r>
    </w:p>
  </w:footnote>
  <w:footnote w:id="2">
    <w:p w:rsidR="002656A9" w:rsidRDefault="002656A9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B25F0A">
        <w:rPr>
          <w:sz w:val="18"/>
          <w:szCs w:val="18"/>
        </w:rPr>
        <w:t xml:space="preserve">Zákon č. 455/2012 Z. z., ktorým sa mení a dopĺňa Zákon č. 131/2002 Z. z. o vysokých školách. Na zákon nadviazala </w:t>
      </w:r>
    </w:p>
    <w:p w:rsidR="002656A9" w:rsidRDefault="002656A9">
      <w:pPr>
        <w:pStyle w:val="Textpoznmkypodiarou"/>
      </w:pPr>
      <w:r>
        <w:rPr>
          <w:sz w:val="18"/>
          <w:szCs w:val="18"/>
        </w:rPr>
        <w:t xml:space="preserve">   </w:t>
      </w:r>
      <w:r w:rsidRPr="00B25F0A">
        <w:rPr>
          <w:sz w:val="18"/>
          <w:szCs w:val="18"/>
        </w:rPr>
        <w:t>Vyhláška MŠVVaŠ SR č. 456/2012 Z. z. o CREPČ, CREUČ s prílohami č. 1-4.</w:t>
      </w:r>
    </w:p>
  </w:footnote>
  <w:footnote w:id="3">
    <w:p w:rsidR="002656A9" w:rsidRDefault="002656A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22C2C">
        <w:rPr>
          <w:sz w:val="18"/>
          <w:szCs w:val="18"/>
        </w:rPr>
        <w:t>Zdroj: https://www.portalvs.sk/sk/informacie-o-vysokych-skolach</w:t>
      </w:r>
    </w:p>
  </w:footnote>
  <w:footnote w:id="4">
    <w:p w:rsidR="002656A9" w:rsidRPr="00CF1C41" w:rsidRDefault="002656A9" w:rsidP="00795E5B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F1C41">
        <w:rPr>
          <w:sz w:val="18"/>
          <w:szCs w:val="18"/>
        </w:rPr>
        <w:t>Šimkovič, V.: Knižnice v informačnom veku. Bratislava: STU, 2010. S. 54.</w:t>
      </w:r>
    </w:p>
  </w:footnote>
  <w:footnote w:id="5">
    <w:p w:rsidR="002656A9" w:rsidRDefault="002656A9" w:rsidP="00116A31">
      <w:pPr>
        <w:pStyle w:val="Textpoznmkypodiarou"/>
      </w:pPr>
      <w:r>
        <w:rPr>
          <w:rStyle w:val="Odkaznapoznmkupodiarou"/>
        </w:rPr>
        <w:footnoteRef/>
      </w:r>
      <w:r>
        <w:t xml:space="preserve"> KNIŽNICE 2012: celoslovenská konferencia, Liptovský Ján ,2.-25.9.2012. Bratislava: SAK, 2012. S. 50.</w:t>
      </w:r>
    </w:p>
  </w:footnote>
  <w:footnote w:id="6">
    <w:p w:rsidR="002656A9" w:rsidRDefault="002656A9">
      <w:pPr>
        <w:pStyle w:val="Textpoznmkypodiarou"/>
      </w:pPr>
      <w:r>
        <w:rPr>
          <w:rStyle w:val="Odkaznapoznmkupodiarou"/>
        </w:rPr>
        <w:footnoteRef/>
      </w:r>
      <w:r>
        <w:t xml:space="preserve"> Nariadenie vlády SR č. 441/2013 Z. z. , príloha č. 2. </w:t>
      </w:r>
    </w:p>
  </w:footnote>
  <w:footnote w:id="7">
    <w:p w:rsidR="002656A9" w:rsidRDefault="002656A9" w:rsidP="000B610D">
      <w:pPr>
        <w:pStyle w:val="Textpoznmkypodiarou"/>
      </w:pPr>
      <w:r>
        <w:rPr>
          <w:rStyle w:val="Odkaznapoznmkupodiarou"/>
        </w:rPr>
        <w:footnoteRef/>
      </w:r>
      <w:r>
        <w:t xml:space="preserve"> Zdroj: </w:t>
      </w:r>
      <w:r w:rsidRPr="00662477">
        <w:t>http://portal.statistics.sk/showdoc.do?docid=67073</w:t>
      </w:r>
    </w:p>
  </w:footnote>
  <w:footnote w:id="8">
    <w:p w:rsidR="002656A9" w:rsidRDefault="002656A9" w:rsidP="00073C8E">
      <w:pPr>
        <w:pStyle w:val="Textpoznmkypodiarou"/>
      </w:pPr>
      <w:r>
        <w:rPr>
          <w:rStyle w:val="Odkaznapoznmkupodiarou"/>
        </w:rPr>
        <w:footnoteRef/>
      </w:r>
      <w:r>
        <w:t xml:space="preserve"> Zdroj: </w:t>
      </w:r>
      <w:r w:rsidRPr="00073C8E">
        <w:t>https://registerkultury.gov.sk/granty2013/statistiky_verejne.php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050"/>
    <w:multiLevelType w:val="hybridMultilevel"/>
    <w:tmpl w:val="75F6F3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7E4E"/>
    <w:multiLevelType w:val="hybridMultilevel"/>
    <w:tmpl w:val="906029B2"/>
    <w:lvl w:ilvl="0" w:tplc="D7B0062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72B"/>
    <w:multiLevelType w:val="hybridMultilevel"/>
    <w:tmpl w:val="9D4E48D8"/>
    <w:lvl w:ilvl="0" w:tplc="DC461AF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0F63"/>
    <w:multiLevelType w:val="hybridMultilevel"/>
    <w:tmpl w:val="D404457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4118AB34">
      <w:start w:val="200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40690C"/>
    <w:multiLevelType w:val="hybridMultilevel"/>
    <w:tmpl w:val="AA46EE74"/>
    <w:lvl w:ilvl="0" w:tplc="55E245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4CE0"/>
    <w:multiLevelType w:val="hybridMultilevel"/>
    <w:tmpl w:val="EEA246EE"/>
    <w:lvl w:ilvl="0" w:tplc="6EE84678">
      <w:start w:val="1"/>
      <w:numFmt w:val="lowerLetter"/>
      <w:lvlText w:val="%1)"/>
      <w:lvlJc w:val="left"/>
      <w:pPr>
        <w:ind w:left="644" w:hanging="360"/>
      </w:pPr>
    </w:lvl>
    <w:lvl w:ilvl="1" w:tplc="4118AB34">
      <w:start w:val="200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A95B97"/>
    <w:multiLevelType w:val="hybridMultilevel"/>
    <w:tmpl w:val="8D54548C"/>
    <w:lvl w:ilvl="0" w:tplc="032E74C0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BA1FC5"/>
    <w:multiLevelType w:val="hybridMultilevel"/>
    <w:tmpl w:val="EFC0171E"/>
    <w:lvl w:ilvl="0" w:tplc="4118AB34">
      <w:start w:val="200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AB62F3"/>
    <w:multiLevelType w:val="hybridMultilevel"/>
    <w:tmpl w:val="E9DC44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94533"/>
    <w:multiLevelType w:val="hybridMultilevel"/>
    <w:tmpl w:val="313E85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D6503"/>
    <w:multiLevelType w:val="hybridMultilevel"/>
    <w:tmpl w:val="5A280474"/>
    <w:lvl w:ilvl="0" w:tplc="589E0370">
      <w:start w:val="200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FC2AB0"/>
    <w:multiLevelType w:val="hybridMultilevel"/>
    <w:tmpl w:val="C12AE6EC"/>
    <w:lvl w:ilvl="0" w:tplc="55BA37F2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3224BB"/>
    <w:multiLevelType w:val="hybridMultilevel"/>
    <w:tmpl w:val="5D3056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9D40FC"/>
    <w:multiLevelType w:val="hybridMultilevel"/>
    <w:tmpl w:val="B58C682E"/>
    <w:lvl w:ilvl="0" w:tplc="2A1823D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B7612F"/>
    <w:multiLevelType w:val="hybridMultilevel"/>
    <w:tmpl w:val="D1D8D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5018F"/>
    <w:multiLevelType w:val="hybridMultilevel"/>
    <w:tmpl w:val="E036F2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D0731"/>
    <w:multiLevelType w:val="hybridMultilevel"/>
    <w:tmpl w:val="E002286E"/>
    <w:lvl w:ilvl="0" w:tplc="83083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6B2"/>
    <w:rsid w:val="00011317"/>
    <w:rsid w:val="00027702"/>
    <w:rsid w:val="0003499C"/>
    <w:rsid w:val="000670A7"/>
    <w:rsid w:val="00073C8E"/>
    <w:rsid w:val="000B1F36"/>
    <w:rsid w:val="000B4486"/>
    <w:rsid w:val="000B610D"/>
    <w:rsid w:val="000B63D7"/>
    <w:rsid w:val="000D4693"/>
    <w:rsid w:val="00111776"/>
    <w:rsid w:val="00116A31"/>
    <w:rsid w:val="00117B61"/>
    <w:rsid w:val="00143712"/>
    <w:rsid w:val="00151241"/>
    <w:rsid w:val="001A0378"/>
    <w:rsid w:val="001B16E0"/>
    <w:rsid w:val="001B56A1"/>
    <w:rsid w:val="001D5B1C"/>
    <w:rsid w:val="001D6C04"/>
    <w:rsid w:val="002057E9"/>
    <w:rsid w:val="002222BD"/>
    <w:rsid w:val="0023209B"/>
    <w:rsid w:val="00237300"/>
    <w:rsid w:val="00243109"/>
    <w:rsid w:val="00252F07"/>
    <w:rsid w:val="002656A9"/>
    <w:rsid w:val="002B10F6"/>
    <w:rsid w:val="002B1CD2"/>
    <w:rsid w:val="002F458B"/>
    <w:rsid w:val="00322C2C"/>
    <w:rsid w:val="003725EF"/>
    <w:rsid w:val="00382DD9"/>
    <w:rsid w:val="00385799"/>
    <w:rsid w:val="003902AF"/>
    <w:rsid w:val="003B6A6B"/>
    <w:rsid w:val="003C7E2B"/>
    <w:rsid w:val="00461522"/>
    <w:rsid w:val="00474E95"/>
    <w:rsid w:val="00483112"/>
    <w:rsid w:val="004E25A6"/>
    <w:rsid w:val="0051285C"/>
    <w:rsid w:val="00546FAB"/>
    <w:rsid w:val="00571635"/>
    <w:rsid w:val="00584E29"/>
    <w:rsid w:val="005A4C85"/>
    <w:rsid w:val="005B1EF1"/>
    <w:rsid w:val="005B5D3E"/>
    <w:rsid w:val="005C7988"/>
    <w:rsid w:val="005D2D14"/>
    <w:rsid w:val="005E7EFB"/>
    <w:rsid w:val="005F2209"/>
    <w:rsid w:val="00631787"/>
    <w:rsid w:val="00650988"/>
    <w:rsid w:val="00662477"/>
    <w:rsid w:val="00686E47"/>
    <w:rsid w:val="00695BAC"/>
    <w:rsid w:val="00695CBD"/>
    <w:rsid w:val="006C3C32"/>
    <w:rsid w:val="006E5623"/>
    <w:rsid w:val="006E7A2C"/>
    <w:rsid w:val="006F2DEC"/>
    <w:rsid w:val="0073043A"/>
    <w:rsid w:val="007876EB"/>
    <w:rsid w:val="00790DD4"/>
    <w:rsid w:val="00795E5B"/>
    <w:rsid w:val="007A12C6"/>
    <w:rsid w:val="007A7CAF"/>
    <w:rsid w:val="007D1EDB"/>
    <w:rsid w:val="007E4760"/>
    <w:rsid w:val="0080100A"/>
    <w:rsid w:val="008065E7"/>
    <w:rsid w:val="008066B2"/>
    <w:rsid w:val="00824593"/>
    <w:rsid w:val="00844083"/>
    <w:rsid w:val="008520E7"/>
    <w:rsid w:val="008B2E3A"/>
    <w:rsid w:val="008B6807"/>
    <w:rsid w:val="00937D91"/>
    <w:rsid w:val="0096609C"/>
    <w:rsid w:val="009839B9"/>
    <w:rsid w:val="00993C1F"/>
    <w:rsid w:val="009C7D0F"/>
    <w:rsid w:val="009E2B3C"/>
    <w:rsid w:val="00A2250B"/>
    <w:rsid w:val="00A4008C"/>
    <w:rsid w:val="00A4296E"/>
    <w:rsid w:val="00A53E64"/>
    <w:rsid w:val="00A76F8E"/>
    <w:rsid w:val="00AE07BE"/>
    <w:rsid w:val="00B047E8"/>
    <w:rsid w:val="00B25F0A"/>
    <w:rsid w:val="00B47E09"/>
    <w:rsid w:val="00BF4657"/>
    <w:rsid w:val="00C030E2"/>
    <w:rsid w:val="00C048AE"/>
    <w:rsid w:val="00C07033"/>
    <w:rsid w:val="00C275C0"/>
    <w:rsid w:val="00C40C47"/>
    <w:rsid w:val="00C7306E"/>
    <w:rsid w:val="00CF12A1"/>
    <w:rsid w:val="00CF1C41"/>
    <w:rsid w:val="00D00661"/>
    <w:rsid w:val="00D4282E"/>
    <w:rsid w:val="00D443B7"/>
    <w:rsid w:val="00D67629"/>
    <w:rsid w:val="00D76717"/>
    <w:rsid w:val="00D906DF"/>
    <w:rsid w:val="00E27830"/>
    <w:rsid w:val="00E53C1D"/>
    <w:rsid w:val="00E82935"/>
    <w:rsid w:val="00E97F48"/>
    <w:rsid w:val="00EC18D1"/>
    <w:rsid w:val="00EC18F9"/>
    <w:rsid w:val="00EC5569"/>
    <w:rsid w:val="00ED4511"/>
    <w:rsid w:val="00ED6708"/>
    <w:rsid w:val="00F02699"/>
    <w:rsid w:val="00F14D76"/>
    <w:rsid w:val="00F33F5A"/>
    <w:rsid w:val="00F47F02"/>
    <w:rsid w:val="00F51AC9"/>
    <w:rsid w:val="00F54A4D"/>
    <w:rsid w:val="00FA62EB"/>
    <w:rsid w:val="00F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0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8066B2"/>
    <w:rPr>
      <w:rFonts w:ascii="Calibri" w:eastAsia="Times New Roman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3C8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3C8E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3C8E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85799"/>
    <w:pPr>
      <w:ind w:left="720"/>
    </w:pPr>
    <w:rPr>
      <w:rFonts w:ascii="Calibri" w:eastAsia="Calibri" w:hAnsi="Calibri" w:cs="Calibri"/>
    </w:rPr>
  </w:style>
  <w:style w:type="paragraph" w:styleId="Zarkazkladnhotextu2">
    <w:name w:val="Body Text Indent 2"/>
    <w:basedOn w:val="Normlny"/>
    <w:link w:val="Zarkazkladnhotextu2Char"/>
    <w:semiHidden/>
    <w:unhideWhenUsed/>
    <w:rsid w:val="009839B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839B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ezriadkovania">
    <w:name w:val="No Spacing"/>
    <w:uiPriority w:val="1"/>
    <w:qFormat/>
    <w:rsid w:val="00067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8066B2"/>
    <w:rPr>
      <w:rFonts w:ascii="Calibri" w:eastAsia="Times New Roman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3C8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3C8E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3C8E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85799"/>
    <w:pPr>
      <w:ind w:left="720"/>
    </w:pPr>
    <w:rPr>
      <w:rFonts w:ascii="Calibri" w:eastAsia="Calibri" w:hAnsi="Calibri" w:cs="Calibri"/>
    </w:rPr>
  </w:style>
  <w:style w:type="paragraph" w:styleId="Zarkazkladnhotextu2">
    <w:name w:val="Body Text Indent 2"/>
    <w:basedOn w:val="Normlny"/>
    <w:link w:val="Zarkazkladnhotextu2Char"/>
    <w:semiHidden/>
    <w:unhideWhenUsed/>
    <w:rsid w:val="009839B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839B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ezriadkovania">
    <w:name w:val="No Spacing"/>
    <w:uiPriority w:val="1"/>
    <w:qFormat/>
    <w:rsid w:val="00067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lanok%20metodika%20AK\K&#243;pia%20-%20Preh&#318;ad%20AK%202013,2012,2011%20oprav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lanok%20metodika%20AK\K&#243;pia%20-%20Preh&#318;ad%20AK%202013,2012,2011%20oprav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lanok%20metodika%20AK\K&#243;pia%20-%20Preh&#318;ad%20AK%202013,2012,2011%20oprav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lanok%20metodika%20AK\K&#243;pia%20-%20Preh&#318;ad%20AK%202013,2012,2011%20oprav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lanok%20metodika%20AK\K&#243;pia%20-%20Preh&#318;ad%20AK%202013,2012,2011%20oprav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lanok%20metodika%20AK\K&#243;pia%20-%20Preh&#318;ad%20AK%202013,2012,2011%20oprav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en-US" sz="1400"/>
              <a:t>Prírastky AK podľa spôsobu nadobudnutia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Hárok3!$B$19</c:f>
              <c:strCache>
                <c:ptCount val="1"/>
                <c:pt idx="0">
                  <c:v>r.2013</c:v>
                </c:pt>
              </c:strCache>
            </c:strRef>
          </c:tx>
          <c:cat>
            <c:strRef>
              <c:f>Hárok3!$A$20:$A$23</c:f>
              <c:strCache>
                <c:ptCount val="4"/>
                <c:pt idx="0">
                  <c:v>kúpa</c:v>
                </c:pt>
                <c:pt idx="1">
                  <c:v>dar</c:v>
                </c:pt>
                <c:pt idx="2">
                  <c:v>výmena</c:v>
                </c:pt>
                <c:pt idx="3">
                  <c:v>inak</c:v>
                </c:pt>
              </c:strCache>
            </c:strRef>
          </c:cat>
          <c:val>
            <c:numRef>
              <c:f>Hárok3!$B$20:$B$23</c:f>
              <c:numCache>
                <c:formatCode>#,##0</c:formatCode>
                <c:ptCount val="4"/>
                <c:pt idx="0">
                  <c:v>53203</c:v>
                </c:pt>
                <c:pt idx="1">
                  <c:v>102748</c:v>
                </c:pt>
                <c:pt idx="2">
                  <c:v>3562</c:v>
                </c:pt>
                <c:pt idx="3">
                  <c:v>42863</c:v>
                </c:pt>
              </c:numCache>
            </c:numRef>
          </c:val>
        </c:ser>
        <c:ser>
          <c:idx val="1"/>
          <c:order val="1"/>
          <c:tx>
            <c:strRef>
              <c:f>Hárok3!$C$19</c:f>
              <c:strCache>
                <c:ptCount val="1"/>
                <c:pt idx="0">
                  <c:v>r.2012</c:v>
                </c:pt>
              </c:strCache>
            </c:strRef>
          </c:tx>
          <c:cat>
            <c:strRef>
              <c:f>Hárok3!$A$20:$A$23</c:f>
              <c:strCache>
                <c:ptCount val="4"/>
                <c:pt idx="0">
                  <c:v>kúpa</c:v>
                </c:pt>
                <c:pt idx="1">
                  <c:v>dar</c:v>
                </c:pt>
                <c:pt idx="2">
                  <c:v>výmena</c:v>
                </c:pt>
                <c:pt idx="3">
                  <c:v>inak</c:v>
                </c:pt>
              </c:strCache>
            </c:strRef>
          </c:cat>
          <c:val>
            <c:numRef>
              <c:f>Hárok3!$C$20:$C$23</c:f>
              <c:numCache>
                <c:formatCode>General</c:formatCode>
                <c:ptCount val="4"/>
                <c:pt idx="0" formatCode="#,##0">
                  <c:v>50059</c:v>
                </c:pt>
                <c:pt idx="1">
                  <c:v>93451</c:v>
                </c:pt>
                <c:pt idx="2">
                  <c:v>1845</c:v>
                </c:pt>
                <c:pt idx="3">
                  <c:v>33736</c:v>
                </c:pt>
              </c:numCache>
            </c:numRef>
          </c:val>
        </c:ser>
        <c:shape val="cylinder"/>
        <c:axId val="109948928"/>
        <c:axId val="109950464"/>
        <c:axId val="0"/>
      </c:bar3DChart>
      <c:catAx>
        <c:axId val="109948928"/>
        <c:scaling>
          <c:orientation val="minMax"/>
        </c:scaling>
        <c:axPos val="b"/>
        <c:majorTickMark val="none"/>
        <c:tickLblPos val="nextTo"/>
        <c:crossAx val="109950464"/>
        <c:crosses val="autoZero"/>
        <c:auto val="1"/>
        <c:lblAlgn val="ctr"/>
        <c:lblOffset val="100"/>
      </c:catAx>
      <c:valAx>
        <c:axId val="109950464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09948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en-US" sz="1400"/>
              <a:t>Prehľad prírastkov online katalógov AK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Hárok2!$A$2</c:f>
              <c:strCache>
                <c:ptCount val="1"/>
                <c:pt idx="0">
                  <c:v>knižničný fond AK - počet k.j.</c:v>
                </c:pt>
              </c:strCache>
            </c:strRef>
          </c:tx>
          <c:cat>
            <c:strRef>
              <c:f>Hárok2!$B$1:$C$1</c:f>
              <c:strCache>
                <c:ptCount val="2"/>
                <c:pt idx="0">
                  <c:v>r.2013</c:v>
                </c:pt>
                <c:pt idx="1">
                  <c:v>r.2012</c:v>
                </c:pt>
              </c:strCache>
            </c:strRef>
          </c:cat>
          <c:val>
            <c:numRef>
              <c:f>Hárok2!$B$2:$C$2</c:f>
              <c:numCache>
                <c:formatCode>#,##0</c:formatCode>
                <c:ptCount val="2"/>
                <c:pt idx="0">
                  <c:v>6238718</c:v>
                </c:pt>
                <c:pt idx="1">
                  <c:v>6110689</c:v>
                </c:pt>
              </c:numCache>
            </c:numRef>
          </c:val>
        </c:ser>
        <c:ser>
          <c:idx val="1"/>
          <c:order val="1"/>
          <c:tx>
            <c:strRef>
              <c:f>Hárok2!$A$3</c:f>
              <c:strCache>
                <c:ptCount val="1"/>
                <c:pt idx="0">
                  <c:v>počet k.j. v online katalógoch</c:v>
                </c:pt>
              </c:strCache>
            </c:strRef>
          </c:tx>
          <c:cat>
            <c:strRef>
              <c:f>Hárok2!$B$1:$C$1</c:f>
              <c:strCache>
                <c:ptCount val="2"/>
                <c:pt idx="0">
                  <c:v>r.2013</c:v>
                </c:pt>
                <c:pt idx="1">
                  <c:v>r.2012</c:v>
                </c:pt>
              </c:strCache>
            </c:strRef>
          </c:cat>
          <c:val>
            <c:numRef>
              <c:f>Hárok2!$B$3:$C$3</c:f>
              <c:numCache>
                <c:formatCode>#,##0</c:formatCode>
                <c:ptCount val="2"/>
                <c:pt idx="0">
                  <c:v>4358344</c:v>
                </c:pt>
                <c:pt idx="1">
                  <c:v>3978215</c:v>
                </c:pt>
              </c:numCache>
            </c:numRef>
          </c:val>
        </c:ser>
        <c:shape val="cylinder"/>
        <c:axId val="109959424"/>
        <c:axId val="109961216"/>
        <c:axId val="0"/>
      </c:bar3DChart>
      <c:catAx>
        <c:axId val="109959424"/>
        <c:scaling>
          <c:orientation val="minMax"/>
        </c:scaling>
        <c:axPos val="b"/>
        <c:majorTickMark val="none"/>
        <c:tickLblPos val="nextTo"/>
        <c:crossAx val="109961216"/>
        <c:crosses val="autoZero"/>
        <c:auto val="1"/>
        <c:lblAlgn val="ctr"/>
        <c:lblOffset val="100"/>
      </c:catAx>
      <c:valAx>
        <c:axId val="10996121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09959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Hárok2!$B$6</c:f>
              <c:strCache>
                <c:ptCount val="1"/>
                <c:pt idx="0">
                  <c:v>r. 2013</c:v>
                </c:pt>
              </c:strCache>
            </c:strRef>
          </c:tx>
          <c:cat>
            <c:strRef>
              <c:f>Hárok2!$A$7:$A$10</c:f>
              <c:strCache>
                <c:ptCount val="4"/>
                <c:pt idx="0">
                  <c:v>Potenciálni používatelia</c:v>
                </c:pt>
                <c:pt idx="1">
                  <c:v>z toho VŠ študentov</c:v>
                </c:pt>
                <c:pt idx="2">
                  <c:v>Počet reg. používateľov</c:v>
                </c:pt>
                <c:pt idx="3">
                  <c:v>z toho poslucháči VŠ</c:v>
                </c:pt>
              </c:strCache>
            </c:strRef>
          </c:cat>
          <c:val>
            <c:numRef>
              <c:f>Hárok2!$B$7:$B$10</c:f>
              <c:numCache>
                <c:formatCode>#,##0.00</c:formatCode>
                <c:ptCount val="4"/>
                <c:pt idx="0">
                  <c:v>215700</c:v>
                </c:pt>
                <c:pt idx="1">
                  <c:v>188807</c:v>
                </c:pt>
                <c:pt idx="2">
                  <c:v>183235</c:v>
                </c:pt>
                <c:pt idx="3">
                  <c:v>143598</c:v>
                </c:pt>
              </c:numCache>
            </c:numRef>
          </c:val>
        </c:ser>
        <c:ser>
          <c:idx val="1"/>
          <c:order val="1"/>
          <c:tx>
            <c:strRef>
              <c:f>Hárok2!$C$6</c:f>
              <c:strCache>
                <c:ptCount val="1"/>
                <c:pt idx="0">
                  <c:v>r. 2012</c:v>
                </c:pt>
              </c:strCache>
            </c:strRef>
          </c:tx>
          <c:cat>
            <c:strRef>
              <c:f>Hárok2!$A$7:$A$10</c:f>
              <c:strCache>
                <c:ptCount val="4"/>
                <c:pt idx="0">
                  <c:v>Potenciálni používatelia</c:v>
                </c:pt>
                <c:pt idx="1">
                  <c:v>z toho VŠ študentov</c:v>
                </c:pt>
                <c:pt idx="2">
                  <c:v>Počet reg. používateľov</c:v>
                </c:pt>
                <c:pt idx="3">
                  <c:v>z toho poslucháči VŠ</c:v>
                </c:pt>
              </c:strCache>
            </c:strRef>
          </c:cat>
          <c:val>
            <c:numRef>
              <c:f>Hárok2!$C$7:$C$10</c:f>
              <c:numCache>
                <c:formatCode>#,##0.00</c:formatCode>
                <c:ptCount val="4"/>
                <c:pt idx="0">
                  <c:v>228610</c:v>
                </c:pt>
                <c:pt idx="1">
                  <c:v>203352</c:v>
                </c:pt>
                <c:pt idx="2">
                  <c:v>227035</c:v>
                </c:pt>
                <c:pt idx="3">
                  <c:v>152129</c:v>
                </c:pt>
              </c:numCache>
            </c:numRef>
          </c:val>
        </c:ser>
        <c:shape val="cylinder"/>
        <c:axId val="34284288"/>
        <c:axId val="34285824"/>
        <c:axId val="0"/>
      </c:bar3DChart>
      <c:catAx>
        <c:axId val="34284288"/>
        <c:scaling>
          <c:orientation val="minMax"/>
        </c:scaling>
        <c:axPos val="b"/>
        <c:majorTickMark val="none"/>
        <c:tickLblPos val="nextTo"/>
        <c:crossAx val="34285824"/>
        <c:crosses val="autoZero"/>
        <c:auto val="1"/>
        <c:lblAlgn val="ctr"/>
        <c:lblOffset val="100"/>
      </c:catAx>
      <c:valAx>
        <c:axId val="34285824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342842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 sz="1200"/>
            </a:pPr>
            <a:r>
              <a:rPr lang="en-US" sz="1400"/>
              <a:t>Návštevníci </a:t>
            </a:r>
            <a:r>
              <a:rPr lang="sk-SK" sz="1400"/>
              <a:t>AK</a:t>
            </a:r>
            <a:endParaRPr 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Hárok3!$A$2</c:f>
              <c:strCache>
                <c:ptCount val="1"/>
                <c:pt idx="0">
                  <c:v>Návštevníci knižnice-fyzické návštevy</c:v>
                </c:pt>
              </c:strCache>
            </c:strRef>
          </c:tx>
          <c:cat>
            <c:strRef>
              <c:f>Hárok3!$B$1:$D$1</c:f>
              <c:strCache>
                <c:ptCount val="3"/>
                <c:pt idx="0">
                  <c:v>Verejné VŠ</c:v>
                </c:pt>
                <c:pt idx="1">
                  <c:v>Štátne VŠ</c:v>
                </c:pt>
                <c:pt idx="2">
                  <c:v>Súkromné VŠ</c:v>
                </c:pt>
              </c:strCache>
            </c:strRef>
          </c:cat>
          <c:val>
            <c:numRef>
              <c:f>Hárok3!$B$2:$D$2</c:f>
              <c:numCache>
                <c:formatCode>#,##0.00</c:formatCode>
                <c:ptCount val="3"/>
                <c:pt idx="0">
                  <c:v>1484588</c:v>
                </c:pt>
                <c:pt idx="1">
                  <c:v>37549</c:v>
                </c:pt>
                <c:pt idx="2">
                  <c:v>84990</c:v>
                </c:pt>
              </c:numCache>
            </c:numRef>
          </c:val>
        </c:ser>
        <c:ser>
          <c:idx val="1"/>
          <c:order val="1"/>
          <c:tx>
            <c:strRef>
              <c:f>Hárok3!$A$3</c:f>
              <c:strCache>
                <c:ptCount val="1"/>
                <c:pt idx="0">
                  <c:v>Virtuálni návštevníci</c:v>
                </c:pt>
              </c:strCache>
            </c:strRef>
          </c:tx>
          <c:cat>
            <c:strRef>
              <c:f>Hárok3!$B$1:$D$1</c:f>
              <c:strCache>
                <c:ptCount val="3"/>
                <c:pt idx="0">
                  <c:v>Verejné VŠ</c:v>
                </c:pt>
                <c:pt idx="1">
                  <c:v>Štátne VŠ</c:v>
                </c:pt>
                <c:pt idx="2">
                  <c:v>Súkromné VŠ</c:v>
                </c:pt>
              </c:strCache>
            </c:strRef>
          </c:cat>
          <c:val>
            <c:numRef>
              <c:f>Hárok3!$B$3:$D$3</c:f>
              <c:numCache>
                <c:formatCode>#,##0.00</c:formatCode>
                <c:ptCount val="3"/>
                <c:pt idx="0">
                  <c:v>2688539</c:v>
                </c:pt>
                <c:pt idx="1">
                  <c:v>302602</c:v>
                </c:pt>
                <c:pt idx="2">
                  <c:v>104390</c:v>
                </c:pt>
              </c:numCache>
            </c:numRef>
          </c:val>
        </c:ser>
        <c:gapWidth val="75"/>
        <c:overlap val="-25"/>
        <c:axId val="34297728"/>
        <c:axId val="34299264"/>
      </c:barChart>
      <c:catAx>
        <c:axId val="34297728"/>
        <c:scaling>
          <c:orientation val="minMax"/>
        </c:scaling>
        <c:axPos val="b"/>
        <c:majorTickMark val="none"/>
        <c:tickLblPos val="nextTo"/>
        <c:crossAx val="34299264"/>
        <c:crosses val="autoZero"/>
        <c:auto val="1"/>
        <c:lblAlgn val="ctr"/>
        <c:lblOffset val="100"/>
      </c:catAx>
      <c:valAx>
        <c:axId val="34299264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spPr>
          <a:ln w="9525">
            <a:noFill/>
          </a:ln>
        </c:spPr>
        <c:crossAx val="3429772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 sz="1400"/>
            </a:pPr>
            <a:r>
              <a:rPr lang="sk-SK" sz="1400"/>
              <a:t>E</a:t>
            </a:r>
            <a:r>
              <a:rPr lang="en-US" sz="1400"/>
              <a:t>-referenčné služby</a:t>
            </a:r>
            <a:r>
              <a:rPr lang="sk-SK" sz="1400"/>
              <a:t> v AK r. 2013</a:t>
            </a:r>
            <a:endParaRPr lang="en-US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Hárok2!$A$21</c:f>
              <c:strCache>
                <c:ptCount val="1"/>
                <c:pt idx="0">
                  <c:v>e-referenčné služby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Hárok2!$B$20:$D$20</c:f>
              <c:strCache>
                <c:ptCount val="3"/>
                <c:pt idx="0">
                  <c:v>Verejné VŠ</c:v>
                </c:pt>
                <c:pt idx="1">
                  <c:v>Štátne VŠ</c:v>
                </c:pt>
                <c:pt idx="2">
                  <c:v>Súkromné VŠ</c:v>
                </c:pt>
              </c:strCache>
            </c:strRef>
          </c:cat>
          <c:val>
            <c:numRef>
              <c:f>Hárok2!$B$21:$D$21</c:f>
              <c:numCache>
                <c:formatCode>#,##0.00</c:formatCode>
                <c:ptCount val="3"/>
                <c:pt idx="0">
                  <c:v>46199</c:v>
                </c:pt>
                <c:pt idx="1">
                  <c:v>31991</c:v>
                </c:pt>
                <c:pt idx="2">
                  <c:v>1853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Využívanie EIZ a online katalógu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Hárok2!$A$32</c:f>
              <c:strCache>
                <c:ptCount val="1"/>
                <c:pt idx="0">
                  <c:v>Počet vstupov do on-line katalógu</c:v>
                </c:pt>
              </c:strCache>
            </c:strRef>
          </c:tx>
          <c:cat>
            <c:strRef>
              <c:f>Hárok2!$B$31:$D$31</c:f>
              <c:strCache>
                <c:ptCount val="3"/>
                <c:pt idx="0">
                  <c:v>Verejné VŠ</c:v>
                </c:pt>
                <c:pt idx="1">
                  <c:v>Štátne VŠ</c:v>
                </c:pt>
                <c:pt idx="2">
                  <c:v>Súkromné VŠ</c:v>
                </c:pt>
              </c:strCache>
            </c:strRef>
          </c:cat>
          <c:val>
            <c:numRef>
              <c:f>Hárok2!$B$32:$D$32</c:f>
              <c:numCache>
                <c:formatCode>#,##0.00</c:formatCode>
                <c:ptCount val="3"/>
                <c:pt idx="0">
                  <c:v>1636577</c:v>
                </c:pt>
                <c:pt idx="1">
                  <c:v>271298</c:v>
                </c:pt>
                <c:pt idx="2">
                  <c:v>29142</c:v>
                </c:pt>
              </c:numCache>
            </c:numRef>
          </c:val>
        </c:ser>
        <c:ser>
          <c:idx val="1"/>
          <c:order val="1"/>
          <c:tx>
            <c:strRef>
              <c:f>Hárok2!$A$33</c:f>
              <c:strCache>
                <c:ptCount val="1"/>
                <c:pt idx="0">
                  <c:v>Počet vyhľadávaní v licencovaných IZ</c:v>
                </c:pt>
              </c:strCache>
            </c:strRef>
          </c:tx>
          <c:cat>
            <c:strRef>
              <c:f>Hárok2!$B$31:$D$31</c:f>
              <c:strCache>
                <c:ptCount val="3"/>
                <c:pt idx="0">
                  <c:v>Verejné VŠ</c:v>
                </c:pt>
                <c:pt idx="1">
                  <c:v>Štátne VŠ</c:v>
                </c:pt>
                <c:pt idx="2">
                  <c:v>Súkromné VŠ</c:v>
                </c:pt>
              </c:strCache>
            </c:strRef>
          </c:cat>
          <c:val>
            <c:numRef>
              <c:f>Hárok2!$B$33:$D$33</c:f>
              <c:numCache>
                <c:formatCode>#,##0.00</c:formatCode>
                <c:ptCount val="3"/>
                <c:pt idx="0">
                  <c:v>4449682</c:v>
                </c:pt>
                <c:pt idx="1">
                  <c:v>105096</c:v>
                </c:pt>
                <c:pt idx="2">
                  <c:v>17585</c:v>
                </c:pt>
              </c:numCache>
            </c:numRef>
          </c:val>
        </c:ser>
        <c:ser>
          <c:idx val="2"/>
          <c:order val="2"/>
          <c:tx>
            <c:strRef>
              <c:f>Hárok2!$A$34</c:f>
              <c:strCache>
                <c:ptCount val="1"/>
                <c:pt idx="0">
                  <c:v>Počet stiahnutých/zobrazených e-dok.</c:v>
                </c:pt>
              </c:strCache>
            </c:strRef>
          </c:tx>
          <c:cat>
            <c:strRef>
              <c:f>Hárok2!$B$31:$D$31</c:f>
              <c:strCache>
                <c:ptCount val="3"/>
                <c:pt idx="0">
                  <c:v>Verejné VŠ</c:v>
                </c:pt>
                <c:pt idx="1">
                  <c:v>Štátne VŠ</c:v>
                </c:pt>
                <c:pt idx="2">
                  <c:v>Súkromné VŠ</c:v>
                </c:pt>
              </c:strCache>
            </c:strRef>
          </c:cat>
          <c:val>
            <c:numRef>
              <c:f>Hárok2!$B$34:$D$34</c:f>
              <c:numCache>
                <c:formatCode>#,##0.00</c:formatCode>
                <c:ptCount val="3"/>
                <c:pt idx="0">
                  <c:v>2805220</c:v>
                </c:pt>
                <c:pt idx="1">
                  <c:v>185593</c:v>
                </c:pt>
                <c:pt idx="2">
                  <c:v>8754</c:v>
                </c:pt>
              </c:numCache>
            </c:numRef>
          </c:val>
        </c:ser>
        <c:shape val="cylinder"/>
        <c:axId val="109931904"/>
        <c:axId val="35824768"/>
        <c:axId val="0"/>
      </c:bar3DChart>
      <c:catAx>
        <c:axId val="109931904"/>
        <c:scaling>
          <c:orientation val="minMax"/>
        </c:scaling>
        <c:axPos val="b"/>
        <c:majorTickMark val="none"/>
        <c:tickLblPos val="nextTo"/>
        <c:crossAx val="35824768"/>
        <c:crosses val="autoZero"/>
        <c:auto val="1"/>
        <c:lblAlgn val="ctr"/>
        <c:lblOffset val="100"/>
      </c:catAx>
      <c:valAx>
        <c:axId val="35824768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109931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0A6D4B-4763-46EF-9A10-E4CFA0BC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 UK</dc:creator>
  <cp:lastModifiedBy>kadnarova</cp:lastModifiedBy>
  <cp:revision>2</cp:revision>
  <dcterms:created xsi:type="dcterms:W3CDTF">2014-06-27T08:35:00Z</dcterms:created>
  <dcterms:modified xsi:type="dcterms:W3CDTF">2014-06-27T08:35:00Z</dcterms:modified>
</cp:coreProperties>
</file>